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040D1" w14:textId="191C8E68" w:rsidR="006E33C3" w:rsidRPr="00497A81" w:rsidRDefault="002C14B1" w:rsidP="0038441A">
      <w:pPr>
        <w:spacing w:after="0" w:line="240" w:lineRule="auto"/>
        <w:jc w:val="center"/>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 </w:t>
      </w:r>
      <w:r w:rsidR="00DB1A0E">
        <w:rPr>
          <w:rFonts w:ascii="Times New Roman" w:eastAsia="Times New Roman" w:hAnsi="Times New Roman" w:cs="Times New Roman"/>
          <w:color w:val="000000"/>
          <w:sz w:val="24"/>
          <w:szCs w:val="24"/>
          <w:shd w:val="clear" w:color="auto" w:fill="FFFFFF"/>
          <w:lang w:val="en-GB" w:eastAsia="de-DE"/>
        </w:rPr>
        <w:t xml:space="preserve"> </w:t>
      </w:r>
      <w:r w:rsidR="003A0246">
        <w:rPr>
          <w:rFonts w:ascii="Times New Roman" w:eastAsia="Times New Roman" w:hAnsi="Times New Roman" w:cs="Times New Roman"/>
          <w:color w:val="000000"/>
          <w:sz w:val="24"/>
          <w:szCs w:val="24"/>
          <w:shd w:val="clear" w:color="auto" w:fill="FFFFFF"/>
          <w:lang w:val="en-GB" w:eastAsia="de-DE"/>
        </w:rPr>
        <w:t xml:space="preserve"> </w:t>
      </w:r>
      <w:r w:rsidR="00F143AB">
        <w:rPr>
          <w:rFonts w:ascii="Times New Roman" w:eastAsia="Times New Roman" w:hAnsi="Times New Roman" w:cs="Times New Roman"/>
          <w:color w:val="000000"/>
          <w:sz w:val="24"/>
          <w:szCs w:val="24"/>
          <w:shd w:val="clear" w:color="auto" w:fill="FFFFFF"/>
          <w:lang w:val="en-GB" w:eastAsia="de-DE"/>
        </w:rPr>
        <w:t xml:space="preserve"> </w:t>
      </w:r>
    </w:p>
    <w:p w14:paraId="77937AD3" w14:textId="77777777" w:rsidR="006E33C3" w:rsidRPr="00497A81" w:rsidRDefault="006E33C3" w:rsidP="0038441A">
      <w:pPr>
        <w:spacing w:after="0" w:line="240" w:lineRule="auto"/>
        <w:jc w:val="center"/>
        <w:rPr>
          <w:rFonts w:ascii="Times New Roman" w:eastAsia="Times New Roman" w:hAnsi="Times New Roman" w:cs="Times New Roman"/>
          <w:color w:val="000000"/>
          <w:sz w:val="24"/>
          <w:szCs w:val="24"/>
          <w:shd w:val="clear" w:color="auto" w:fill="FFFFFF"/>
          <w:lang w:val="en-GB" w:eastAsia="de-DE"/>
        </w:rPr>
      </w:pPr>
    </w:p>
    <w:p w14:paraId="6FDBD5E1" w14:textId="07F561E4" w:rsidR="00413220" w:rsidRPr="00497A81" w:rsidRDefault="00413220" w:rsidP="0038441A">
      <w:pPr>
        <w:spacing w:after="0" w:line="240" w:lineRule="auto"/>
        <w:jc w:val="center"/>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Investor</w:t>
      </w:r>
      <w:r w:rsidR="00375AFF"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Consumer or Overall Welfare</w:t>
      </w:r>
      <w:r w:rsidR="00375AFF" w:rsidRPr="00497A81">
        <w:rPr>
          <w:rFonts w:ascii="Times New Roman" w:eastAsia="Times New Roman" w:hAnsi="Times New Roman" w:cs="Times New Roman"/>
          <w:color w:val="000000"/>
          <w:sz w:val="24"/>
          <w:szCs w:val="24"/>
          <w:shd w:val="clear" w:color="auto" w:fill="FFFFFF"/>
          <w:lang w:val="en-GB" w:eastAsia="de-DE"/>
        </w:rPr>
        <w:t>:</w:t>
      </w:r>
    </w:p>
    <w:p w14:paraId="5FA901DC" w14:textId="77777777" w:rsidR="00413220" w:rsidRPr="00497A81" w:rsidRDefault="00375AFF" w:rsidP="0038441A">
      <w:pPr>
        <w:spacing w:after="0" w:line="240" w:lineRule="auto"/>
        <w:jc w:val="center"/>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Searching for </w:t>
      </w:r>
      <w:r w:rsidR="00413220" w:rsidRPr="00497A81">
        <w:rPr>
          <w:rFonts w:ascii="Times New Roman" w:eastAsia="Times New Roman" w:hAnsi="Times New Roman" w:cs="Times New Roman"/>
          <w:color w:val="000000"/>
          <w:sz w:val="24"/>
          <w:szCs w:val="24"/>
          <w:shd w:val="clear" w:color="auto" w:fill="FFFFFF"/>
          <w:lang w:val="en-GB" w:eastAsia="de-DE"/>
        </w:rPr>
        <w:t>the Paradigm of Recent Reform</w:t>
      </w:r>
      <w:r w:rsidRPr="00497A81">
        <w:rPr>
          <w:rFonts w:ascii="Times New Roman" w:eastAsia="Times New Roman" w:hAnsi="Times New Roman" w:cs="Times New Roman"/>
          <w:color w:val="000000"/>
          <w:sz w:val="24"/>
          <w:szCs w:val="24"/>
          <w:shd w:val="clear" w:color="auto" w:fill="FFFFFF"/>
          <w:lang w:val="en-GB" w:eastAsia="de-DE"/>
        </w:rPr>
        <w:t>s</w:t>
      </w:r>
      <w:r w:rsidR="00413220" w:rsidRPr="00497A81">
        <w:rPr>
          <w:rFonts w:ascii="Times New Roman" w:eastAsia="Times New Roman" w:hAnsi="Times New Roman" w:cs="Times New Roman"/>
          <w:color w:val="000000"/>
          <w:sz w:val="24"/>
          <w:szCs w:val="24"/>
          <w:shd w:val="clear" w:color="auto" w:fill="FFFFFF"/>
          <w:lang w:val="en-GB" w:eastAsia="de-DE"/>
        </w:rPr>
        <w:t xml:space="preserve"> in Financial Services Contracts</w:t>
      </w:r>
    </w:p>
    <w:p w14:paraId="71B94F21" w14:textId="77777777" w:rsidR="00413220" w:rsidRPr="00497A81" w:rsidRDefault="00413220" w:rsidP="0038441A">
      <w:pPr>
        <w:spacing w:after="0" w:line="240" w:lineRule="auto"/>
        <w:jc w:val="center"/>
        <w:rPr>
          <w:rFonts w:ascii="Times New Roman" w:eastAsia="Times New Roman" w:hAnsi="Times New Roman" w:cs="Times New Roman"/>
          <w:color w:val="000000"/>
          <w:sz w:val="24"/>
          <w:szCs w:val="24"/>
          <w:shd w:val="clear" w:color="auto" w:fill="FFFFFF"/>
          <w:lang w:val="en-GB" w:eastAsia="de-DE"/>
        </w:rPr>
      </w:pPr>
    </w:p>
    <w:p w14:paraId="6D1D88A4" w14:textId="77777777" w:rsidR="00413220" w:rsidRPr="00497A81" w:rsidRDefault="00413220"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4251E671" w14:textId="77777777" w:rsidR="003410DE" w:rsidRPr="003410DE" w:rsidRDefault="003410DE" w:rsidP="003410DE">
      <w:pPr>
        <w:pStyle w:val="Paragrafoelenco"/>
        <w:numPr>
          <w:ilvl w:val="0"/>
          <w:numId w:val="1"/>
        </w:numPr>
        <w:spacing w:after="0" w:line="240" w:lineRule="auto"/>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Introduction</w:t>
      </w:r>
    </w:p>
    <w:p w14:paraId="5B024B33" w14:textId="77777777" w:rsidR="003410DE" w:rsidRPr="003410DE" w:rsidRDefault="003410DE" w:rsidP="003410DE">
      <w:pPr>
        <w:pStyle w:val="Paragrafoelenco"/>
        <w:numPr>
          <w:ilvl w:val="0"/>
          <w:numId w:val="1"/>
        </w:numPr>
        <w:spacing w:after="0" w:line="240" w:lineRule="auto"/>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Investor-Consumer or Overall Welfare, This is the Question</w:t>
      </w:r>
    </w:p>
    <w:p w14:paraId="020BCEAE" w14:textId="77777777" w:rsidR="003410DE" w:rsidRPr="003410DE" w:rsidRDefault="003410DE" w:rsidP="003410DE">
      <w:pPr>
        <w:pStyle w:val="Paragrafoelenco"/>
        <w:spacing w:after="0" w:line="240" w:lineRule="auto"/>
        <w:ind w:left="2847"/>
        <w:jc w:val="both"/>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1. The Investment Contract – Pivotal for Financial Law Reform, the Definition of Principal Goals and the Idea of Governance</w:t>
      </w:r>
    </w:p>
    <w:p w14:paraId="1A0492F3" w14:textId="77777777" w:rsidR="003410DE" w:rsidRPr="003410DE" w:rsidRDefault="003410DE" w:rsidP="003410DE">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2. Consumers and Investors as Principals … and Beyond</w:t>
      </w:r>
    </w:p>
    <w:p w14:paraId="3C862E6D" w14:textId="77777777" w:rsidR="003410DE" w:rsidRPr="003410DE" w:rsidRDefault="003410DE" w:rsidP="003410DE">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p>
    <w:p w14:paraId="02AFD448" w14:textId="77777777" w:rsidR="003410DE" w:rsidRPr="003410DE" w:rsidRDefault="003410DE" w:rsidP="003410DE">
      <w:pPr>
        <w:pStyle w:val="Paragrafoelenco"/>
        <w:numPr>
          <w:ilvl w:val="0"/>
          <w:numId w:val="1"/>
        </w:numPr>
        <w:spacing w:after="0" w:line="240" w:lineRule="auto"/>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Regulated Market Behaviour and Allocative Efficiency: a Principal Multi Agent Framework</w:t>
      </w:r>
    </w:p>
    <w:p w14:paraId="2E6F88FA" w14:textId="77777777" w:rsidR="003410DE" w:rsidRPr="003410DE" w:rsidRDefault="003410DE" w:rsidP="003410DE">
      <w:pPr>
        <w:pStyle w:val="Paragrafoelenco"/>
        <w:spacing w:line="240" w:lineRule="auto"/>
        <w:ind w:left="2847"/>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 xml:space="preserve">1. Building the Principal Multi Agent Framework </w:t>
      </w:r>
    </w:p>
    <w:p w14:paraId="07E6A8DB" w14:textId="0A1D65B0" w:rsidR="003410DE" w:rsidRPr="003410DE" w:rsidRDefault="003410DE" w:rsidP="003410DE">
      <w:pPr>
        <w:pStyle w:val="Paragrafoelenco"/>
        <w:spacing w:line="240" w:lineRule="auto"/>
        <w:ind w:left="2847"/>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2. The Principal-Agent Structure of EU Consumer and Corporate Gover</w:t>
      </w:r>
      <w:r>
        <w:rPr>
          <w:rFonts w:ascii="Times New Roman" w:eastAsia="Times New Roman" w:hAnsi="Times New Roman" w:cs="Times New Roman"/>
          <w:color w:val="000000"/>
          <w:sz w:val="24"/>
          <w:szCs w:val="24"/>
          <w:shd w:val="clear" w:color="auto" w:fill="FFFFFF"/>
          <w:lang w:val="en-GB" w:eastAsia="de-DE"/>
        </w:rPr>
        <w:t>n</w:t>
      </w:r>
      <w:r w:rsidRPr="003410DE">
        <w:rPr>
          <w:rFonts w:ascii="Times New Roman" w:eastAsia="Times New Roman" w:hAnsi="Times New Roman" w:cs="Times New Roman"/>
          <w:color w:val="000000"/>
          <w:sz w:val="24"/>
          <w:szCs w:val="24"/>
          <w:shd w:val="clear" w:color="auto" w:fill="FFFFFF"/>
          <w:lang w:val="en-GB" w:eastAsia="de-DE"/>
        </w:rPr>
        <w:t>ance Policies</w:t>
      </w:r>
    </w:p>
    <w:p w14:paraId="36E88F5C" w14:textId="77777777" w:rsidR="003410DE" w:rsidRPr="003410DE" w:rsidRDefault="003410DE" w:rsidP="003410DE">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w:t>
      </w:r>
    </w:p>
    <w:p w14:paraId="12D07FEF" w14:textId="77777777" w:rsidR="003410DE" w:rsidRDefault="003410DE" w:rsidP="003410DE">
      <w:pPr>
        <w:pStyle w:val="Paragrafoelenco"/>
        <w:numPr>
          <w:ilvl w:val="0"/>
          <w:numId w:val="1"/>
        </w:numPr>
        <w:spacing w:after="0" w:line="240" w:lineRule="auto"/>
        <w:rPr>
          <w:rFonts w:ascii="Times New Roman" w:eastAsia="Times New Roman" w:hAnsi="Times New Roman" w:cs="Times New Roman"/>
          <w:color w:val="000000"/>
          <w:sz w:val="24"/>
          <w:szCs w:val="24"/>
          <w:shd w:val="clear" w:color="auto" w:fill="FFFFFF"/>
          <w:lang w:val="en-GB" w:eastAsia="de-DE"/>
        </w:rPr>
      </w:pPr>
      <w:r w:rsidRPr="003410DE">
        <w:rPr>
          <w:rFonts w:ascii="Times New Roman" w:eastAsia="Times New Roman" w:hAnsi="Times New Roman" w:cs="Times New Roman"/>
          <w:color w:val="000000"/>
          <w:sz w:val="24"/>
          <w:szCs w:val="24"/>
          <w:shd w:val="clear" w:color="auto" w:fill="FFFFFF"/>
          <w:lang w:val="en-GB" w:eastAsia="de-DE"/>
        </w:rPr>
        <w:t>MiFID II and the Client Relationship</w:t>
      </w:r>
      <w:r>
        <w:rPr>
          <w:rFonts w:ascii="Times New Roman" w:eastAsia="Times New Roman" w:hAnsi="Times New Roman" w:cs="Times New Roman"/>
          <w:color w:val="000000"/>
          <w:sz w:val="24"/>
          <w:szCs w:val="24"/>
          <w:shd w:val="clear" w:color="auto" w:fill="FFFFFF"/>
          <w:lang w:val="en-GB" w:eastAsia="de-DE"/>
        </w:rPr>
        <w:t xml:space="preserve"> as Fiduciary Relationship: the</w:t>
      </w:r>
      <w:r w:rsidRPr="00497A81">
        <w:rPr>
          <w:rFonts w:ascii="Times New Roman" w:eastAsia="Times New Roman" w:hAnsi="Times New Roman" w:cs="Times New Roman"/>
          <w:color w:val="000000"/>
          <w:sz w:val="24"/>
          <w:szCs w:val="24"/>
          <w:shd w:val="clear" w:color="auto" w:fill="FFFFFF"/>
          <w:lang w:val="en-GB" w:eastAsia="de-DE"/>
        </w:rPr>
        <w:t xml:space="preserve"> New Disclosure and Know Your Customer Regime</w:t>
      </w:r>
    </w:p>
    <w:p w14:paraId="277CE9F3" w14:textId="77777777" w:rsidR="00714D13" w:rsidRDefault="003410DE" w:rsidP="00714D13">
      <w:pPr>
        <w:pStyle w:val="Paragrafoelenco"/>
        <w:spacing w:line="240" w:lineRule="auto"/>
        <w:ind w:left="2847"/>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1. T</w:t>
      </w:r>
      <w:r w:rsidRPr="008E59E8">
        <w:rPr>
          <w:rFonts w:ascii="Times New Roman" w:eastAsia="Times New Roman" w:hAnsi="Times New Roman" w:cs="Times New Roman"/>
          <w:color w:val="000000"/>
          <w:sz w:val="24"/>
          <w:szCs w:val="24"/>
          <w:shd w:val="clear" w:color="auto" w:fill="FFFFFF"/>
          <w:lang w:val="en-GB" w:eastAsia="de-DE"/>
        </w:rPr>
        <w:t>he Models of Explanation of Fiduciary Relationship</w:t>
      </w:r>
    </w:p>
    <w:p w14:paraId="278FBB10" w14:textId="7E27D8C7" w:rsidR="003410DE" w:rsidRPr="008E59E8" w:rsidRDefault="003410DE" w:rsidP="00714D13">
      <w:pPr>
        <w:pStyle w:val="Paragrafoelenco"/>
        <w:spacing w:line="240" w:lineRule="auto"/>
        <w:ind w:left="2847"/>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2. Disclosure Regime and Know Your Customer Rule as Significant Examples</w:t>
      </w:r>
    </w:p>
    <w:p w14:paraId="5008267C" w14:textId="77777777" w:rsidR="003410DE" w:rsidRDefault="003410DE" w:rsidP="003410DE">
      <w:pPr>
        <w:pStyle w:val="Paragrafoelenco"/>
        <w:numPr>
          <w:ilvl w:val="0"/>
          <w:numId w:val="1"/>
        </w:numPr>
        <w:spacing w:after="0" w:line="240" w:lineRule="auto"/>
        <w:rPr>
          <w:rFonts w:ascii="Times New Roman" w:eastAsia="Times New Roman" w:hAnsi="Times New Roman" w:cs="Times New Roman"/>
          <w:color w:val="000000"/>
          <w:sz w:val="24"/>
          <w:szCs w:val="24"/>
          <w:shd w:val="clear" w:color="auto" w:fill="FFFFFF"/>
          <w:lang w:val="en-GB" w:eastAsia="de-DE"/>
        </w:rPr>
      </w:pPr>
      <w:r w:rsidRPr="00167115">
        <w:rPr>
          <w:rFonts w:ascii="Times New Roman" w:eastAsia="Times New Roman" w:hAnsi="Times New Roman" w:cs="Times New Roman"/>
          <w:color w:val="000000"/>
          <w:sz w:val="24"/>
          <w:szCs w:val="24"/>
          <w:shd w:val="clear" w:color="auto" w:fill="FFFFFF"/>
          <w:lang w:val="en-GB" w:eastAsia="de-DE"/>
        </w:rPr>
        <w:t>MiFID II and its New Conflicts of Interest Regime</w:t>
      </w:r>
      <w:r w:rsidRPr="0062733D">
        <w:rPr>
          <w:rFonts w:ascii="Times New Roman" w:eastAsia="Times New Roman" w:hAnsi="Times New Roman" w:cs="Times New Roman"/>
          <w:color w:val="000000"/>
          <w:sz w:val="24"/>
          <w:szCs w:val="24"/>
          <w:shd w:val="clear" w:color="auto" w:fill="FFFFFF"/>
          <w:lang w:val="en-GB" w:eastAsia="de-DE"/>
        </w:rPr>
        <w:t xml:space="preserve"> </w:t>
      </w:r>
    </w:p>
    <w:p w14:paraId="63B93C6F" w14:textId="77777777" w:rsidR="003410DE" w:rsidRPr="008E59E8" w:rsidRDefault="003410DE" w:rsidP="00714D13">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r w:rsidRPr="008E59E8">
        <w:rPr>
          <w:rFonts w:ascii="Times New Roman" w:eastAsia="Times New Roman" w:hAnsi="Times New Roman" w:cs="Times New Roman"/>
          <w:color w:val="000000"/>
          <w:sz w:val="24"/>
          <w:szCs w:val="24"/>
          <w:shd w:val="clear" w:color="auto" w:fill="FFFFFF"/>
          <w:lang w:val="en-GB" w:eastAsia="de-DE"/>
        </w:rPr>
        <w:t>1. The Relationship</w:t>
      </w:r>
      <w:r>
        <w:rPr>
          <w:rFonts w:ascii="Times New Roman" w:eastAsia="Times New Roman" w:hAnsi="Times New Roman" w:cs="Times New Roman"/>
          <w:color w:val="000000"/>
          <w:sz w:val="24"/>
          <w:szCs w:val="24"/>
          <w:shd w:val="clear" w:color="auto" w:fill="FFFFFF"/>
          <w:lang w:val="en-GB" w:eastAsia="de-DE"/>
        </w:rPr>
        <w:t xml:space="preserve"> to the Basic Fiduciary Model</w:t>
      </w:r>
    </w:p>
    <w:p w14:paraId="545062E9" w14:textId="77777777" w:rsidR="003410DE" w:rsidRPr="008E59E8" w:rsidRDefault="003410DE" w:rsidP="003410DE">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r w:rsidRPr="0062733D">
        <w:rPr>
          <w:rFonts w:ascii="Times New Roman" w:eastAsia="Times New Roman" w:hAnsi="Times New Roman" w:cs="Times New Roman"/>
          <w:color w:val="000000"/>
          <w:sz w:val="24"/>
          <w:szCs w:val="24"/>
          <w:shd w:val="clear" w:color="auto" w:fill="FFFFFF"/>
          <w:lang w:val="en-GB" w:eastAsia="de-DE"/>
        </w:rPr>
        <w:t xml:space="preserve">2. </w:t>
      </w:r>
      <w:r>
        <w:rPr>
          <w:rFonts w:ascii="Times New Roman" w:eastAsia="Times New Roman" w:hAnsi="Times New Roman" w:cs="Times New Roman"/>
          <w:color w:val="000000"/>
          <w:sz w:val="24"/>
          <w:szCs w:val="24"/>
          <w:shd w:val="clear" w:color="auto" w:fill="FFFFFF"/>
          <w:lang w:val="en-GB" w:eastAsia="de-DE"/>
        </w:rPr>
        <w:t>First Example: Far-Reaching Organizational Duties</w:t>
      </w:r>
    </w:p>
    <w:p w14:paraId="2AEF76C3" w14:textId="77777777" w:rsidR="003410DE" w:rsidRPr="00167115" w:rsidRDefault="003410DE" w:rsidP="003410DE">
      <w:pPr>
        <w:spacing w:after="0" w:line="240" w:lineRule="auto"/>
        <w:ind w:left="2832"/>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3</w:t>
      </w:r>
      <w:r w:rsidRPr="00167115">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t xml:space="preserve">Second Example: </w:t>
      </w:r>
      <w:r w:rsidRPr="00167115">
        <w:rPr>
          <w:rFonts w:ascii="Times New Roman" w:eastAsia="Times New Roman" w:hAnsi="Times New Roman" w:cs="Times New Roman"/>
          <w:color w:val="000000"/>
          <w:sz w:val="24"/>
          <w:szCs w:val="24"/>
          <w:shd w:val="clear" w:color="auto" w:fill="FFFFFF"/>
          <w:lang w:val="en-GB" w:eastAsia="de-DE"/>
        </w:rPr>
        <w:t xml:space="preserve">The </w:t>
      </w:r>
      <w:r>
        <w:rPr>
          <w:rFonts w:ascii="Times New Roman" w:eastAsia="Times New Roman" w:hAnsi="Times New Roman" w:cs="Times New Roman"/>
          <w:color w:val="000000"/>
          <w:sz w:val="24"/>
          <w:szCs w:val="24"/>
          <w:shd w:val="clear" w:color="auto" w:fill="FFFFFF"/>
          <w:lang w:val="en-GB" w:eastAsia="de-DE"/>
        </w:rPr>
        <w:t>Duty to Disclose Remaining Conflicts of Interest</w:t>
      </w:r>
    </w:p>
    <w:p w14:paraId="3FABE2D1" w14:textId="77777777" w:rsidR="003410DE" w:rsidRDefault="003410DE" w:rsidP="003410DE">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4</w:t>
      </w:r>
      <w:r w:rsidRPr="0062733D">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t>Third Example: The Regime on Fees (Inducements)</w:t>
      </w:r>
    </w:p>
    <w:p w14:paraId="244A6F6B" w14:textId="0C4AE688" w:rsidR="004800CC" w:rsidRPr="00167115" w:rsidRDefault="004800CC" w:rsidP="003410DE">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5. </w:t>
      </w:r>
    </w:p>
    <w:p w14:paraId="40294CCF" w14:textId="77777777" w:rsidR="003410DE" w:rsidRPr="008E59E8" w:rsidRDefault="003410DE" w:rsidP="003410DE">
      <w:pPr>
        <w:pStyle w:val="Paragrafoelenco"/>
        <w:spacing w:after="0" w:line="240" w:lineRule="auto"/>
        <w:ind w:left="2847"/>
        <w:rPr>
          <w:rFonts w:ascii="Times New Roman" w:eastAsia="Times New Roman" w:hAnsi="Times New Roman" w:cs="Times New Roman"/>
          <w:color w:val="000000"/>
          <w:sz w:val="24"/>
          <w:szCs w:val="24"/>
          <w:shd w:val="clear" w:color="auto" w:fill="FFFFFF"/>
          <w:lang w:val="en-GB" w:eastAsia="de-DE"/>
        </w:rPr>
      </w:pPr>
      <w:r w:rsidRPr="008E59E8">
        <w:rPr>
          <w:rFonts w:ascii="Times New Roman" w:eastAsia="Times New Roman" w:hAnsi="Times New Roman" w:cs="Times New Roman"/>
          <w:color w:val="000000"/>
          <w:sz w:val="24"/>
          <w:szCs w:val="24"/>
          <w:shd w:val="clear" w:color="auto" w:fill="FFFFFF"/>
          <w:lang w:val="en-GB" w:eastAsia="de-DE"/>
        </w:rPr>
        <w:t>-------------------------------------------</w:t>
      </w:r>
    </w:p>
    <w:p w14:paraId="0B7475B9" w14:textId="77777777" w:rsidR="003410DE" w:rsidRDefault="003410DE" w:rsidP="003410DE">
      <w:pPr>
        <w:pStyle w:val="Paragrafoelenco"/>
        <w:numPr>
          <w:ilvl w:val="0"/>
          <w:numId w:val="1"/>
        </w:numPr>
        <w:spacing w:after="0" w:line="240" w:lineRule="auto"/>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Understanding T</w:t>
      </w:r>
      <w:r w:rsidRPr="00497A81">
        <w:rPr>
          <w:rFonts w:ascii="Times New Roman" w:eastAsia="Times New Roman" w:hAnsi="Times New Roman" w:cs="Times New Roman"/>
          <w:color w:val="000000"/>
          <w:sz w:val="24"/>
          <w:szCs w:val="24"/>
          <w:shd w:val="clear" w:color="auto" w:fill="FFFFFF"/>
          <w:lang w:val="en-GB" w:eastAsia="de-DE"/>
        </w:rPr>
        <w:t>he Reformed EU Consumer Credit Law</w:t>
      </w:r>
    </w:p>
    <w:p w14:paraId="0DD4E97D" w14:textId="77777777" w:rsidR="003410DE" w:rsidRDefault="003410DE" w:rsidP="003410DE">
      <w:pPr>
        <w:pStyle w:val="Paragrafoelenco"/>
        <w:numPr>
          <w:ilvl w:val="0"/>
          <w:numId w:val="12"/>
        </w:numPr>
        <w:spacing w:after="0" w:line="240" w:lineRule="auto"/>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The Aims of Credit Regulation in the EU</w:t>
      </w:r>
    </w:p>
    <w:p w14:paraId="3C0E2B7D" w14:textId="28B45553" w:rsidR="003410DE" w:rsidRDefault="003410DE" w:rsidP="003410DE">
      <w:pPr>
        <w:pStyle w:val="Paragrafoelenco"/>
        <w:numPr>
          <w:ilvl w:val="0"/>
          <w:numId w:val="12"/>
        </w:numPr>
        <w:spacing w:after="0" w:line="240" w:lineRule="auto"/>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Worthy for Whom? Three Notion</w:t>
      </w:r>
      <w:r w:rsidR="00A12550">
        <w:rPr>
          <w:rFonts w:ascii="Times New Roman" w:eastAsia="Times New Roman" w:hAnsi="Times New Roman" w:cs="Times New Roman"/>
          <w:color w:val="000000"/>
          <w:sz w:val="24"/>
          <w:szCs w:val="24"/>
          <w:shd w:val="clear" w:color="auto" w:fill="FFFFFF"/>
          <w:lang w:val="en-GB" w:eastAsia="de-DE"/>
        </w:rPr>
        <w:t>s</w:t>
      </w:r>
      <w:r>
        <w:rPr>
          <w:rFonts w:ascii="Times New Roman" w:eastAsia="Times New Roman" w:hAnsi="Times New Roman" w:cs="Times New Roman"/>
          <w:color w:val="000000"/>
          <w:sz w:val="24"/>
          <w:szCs w:val="24"/>
          <w:shd w:val="clear" w:color="auto" w:fill="FFFFFF"/>
          <w:lang w:val="en-GB" w:eastAsia="de-DE"/>
        </w:rPr>
        <w:t xml:space="preserve"> of Responsible Lending</w:t>
      </w:r>
    </w:p>
    <w:p w14:paraId="06A73467" w14:textId="77777777" w:rsidR="003410DE" w:rsidRPr="00497A81" w:rsidRDefault="003410DE" w:rsidP="003410DE">
      <w:pPr>
        <w:pStyle w:val="Paragrafoelenco"/>
        <w:numPr>
          <w:ilvl w:val="0"/>
          <w:numId w:val="12"/>
        </w:numPr>
        <w:spacing w:after="0" w:line="240" w:lineRule="auto"/>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EU Regulated Credit Market As a Principal Multi Agent Interaction</w:t>
      </w:r>
    </w:p>
    <w:p w14:paraId="57920CA9" w14:textId="77777777" w:rsidR="003410DE" w:rsidRPr="00497A81" w:rsidRDefault="003410DE" w:rsidP="003410DE">
      <w:pPr>
        <w:pStyle w:val="Paragrafoelenco"/>
        <w:numPr>
          <w:ilvl w:val="0"/>
          <w:numId w:val="1"/>
        </w:numPr>
        <w:spacing w:after="0" w:line="240" w:lineRule="auto"/>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Conclusions</w:t>
      </w:r>
    </w:p>
    <w:p w14:paraId="2B8AACCD" w14:textId="77777777" w:rsidR="00413220" w:rsidRPr="00DA09BA" w:rsidRDefault="00413220" w:rsidP="0038441A">
      <w:pPr>
        <w:spacing w:after="0" w:line="240" w:lineRule="auto"/>
        <w:rPr>
          <w:rFonts w:ascii="Times New Roman" w:eastAsia="Times New Roman" w:hAnsi="Times New Roman" w:cs="Times New Roman"/>
          <w:color w:val="000000"/>
          <w:sz w:val="24"/>
          <w:szCs w:val="24"/>
          <w:shd w:val="clear" w:color="auto" w:fill="FFFFFF"/>
          <w:lang w:val="en-US" w:eastAsia="de-DE"/>
        </w:rPr>
      </w:pPr>
    </w:p>
    <w:p w14:paraId="02140C84" w14:textId="77777777" w:rsidR="00413220" w:rsidRPr="00DA09BA" w:rsidRDefault="00413220" w:rsidP="0038441A">
      <w:pPr>
        <w:spacing w:after="0" w:line="240" w:lineRule="auto"/>
        <w:rPr>
          <w:rFonts w:ascii="Times New Roman" w:eastAsia="Times New Roman" w:hAnsi="Times New Roman" w:cs="Times New Roman"/>
          <w:color w:val="000000"/>
          <w:sz w:val="24"/>
          <w:szCs w:val="24"/>
          <w:shd w:val="clear" w:color="auto" w:fill="FFFFFF"/>
          <w:lang w:val="en-US" w:eastAsia="de-DE"/>
        </w:rPr>
      </w:pPr>
      <w:r w:rsidRPr="00DA09BA">
        <w:rPr>
          <w:rFonts w:ascii="Times New Roman" w:eastAsia="Times New Roman" w:hAnsi="Times New Roman" w:cs="Times New Roman"/>
          <w:color w:val="000000"/>
          <w:sz w:val="24"/>
          <w:szCs w:val="24"/>
          <w:shd w:val="clear" w:color="auto" w:fill="FFFFFF"/>
          <w:lang w:val="en-US" w:eastAsia="de-DE"/>
        </w:rPr>
        <w:t xml:space="preserve"> </w:t>
      </w:r>
    </w:p>
    <w:p w14:paraId="5630E7D6" w14:textId="77777777" w:rsidR="00413220" w:rsidRPr="00497A81" w:rsidRDefault="00413220"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497A81">
        <w:rPr>
          <w:rFonts w:ascii="Times New Roman" w:eastAsia="Times New Roman" w:hAnsi="Times New Roman" w:cs="Times New Roman"/>
          <w:b/>
          <w:color w:val="000000"/>
          <w:sz w:val="24"/>
          <w:szCs w:val="24"/>
          <w:shd w:val="clear" w:color="auto" w:fill="FFFFFF"/>
          <w:lang w:val="en-GB" w:eastAsia="de-DE"/>
        </w:rPr>
        <w:t>I</w:t>
      </w:r>
      <w:r w:rsidR="001220B9" w:rsidRPr="00497A81">
        <w:rPr>
          <w:rFonts w:ascii="Times New Roman" w:eastAsia="Times New Roman" w:hAnsi="Times New Roman" w:cs="Times New Roman"/>
          <w:b/>
          <w:color w:val="000000"/>
          <w:sz w:val="24"/>
          <w:szCs w:val="24"/>
          <w:shd w:val="clear" w:color="auto" w:fill="FFFFFF"/>
          <w:lang w:val="en-GB" w:eastAsia="de-DE"/>
        </w:rPr>
        <w:t>. I</w:t>
      </w:r>
      <w:r w:rsidRPr="00497A81">
        <w:rPr>
          <w:rFonts w:ascii="Times New Roman" w:eastAsia="Times New Roman" w:hAnsi="Times New Roman" w:cs="Times New Roman"/>
          <w:b/>
          <w:color w:val="000000"/>
          <w:sz w:val="24"/>
          <w:szCs w:val="24"/>
          <w:shd w:val="clear" w:color="auto" w:fill="FFFFFF"/>
          <w:lang w:val="en-GB" w:eastAsia="de-DE"/>
        </w:rPr>
        <w:t>ntroduction</w:t>
      </w:r>
    </w:p>
    <w:p w14:paraId="2D3AEC50" w14:textId="77777777" w:rsidR="00413220" w:rsidRPr="00497A81" w:rsidRDefault="00413220" w:rsidP="0038441A">
      <w:pPr>
        <w:spacing w:after="0" w:line="240" w:lineRule="auto"/>
        <w:ind w:left="360"/>
        <w:rPr>
          <w:rFonts w:ascii="Times New Roman" w:eastAsia="Times New Roman" w:hAnsi="Times New Roman" w:cs="Times New Roman"/>
          <w:color w:val="000000"/>
          <w:sz w:val="24"/>
          <w:szCs w:val="24"/>
          <w:shd w:val="clear" w:color="auto" w:fill="FFFFFF"/>
          <w:lang w:val="en-GB" w:eastAsia="de-DE"/>
        </w:rPr>
      </w:pPr>
    </w:p>
    <w:p w14:paraId="4888954D" w14:textId="3D8A2CAC" w:rsidR="00413220" w:rsidRPr="00497A81" w:rsidRDefault="00413220" w:rsidP="0038441A">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The World </w:t>
      </w:r>
      <w:r w:rsidR="009229A7" w:rsidRPr="00497A81">
        <w:rPr>
          <w:rFonts w:ascii="Times New Roman" w:eastAsia="Times New Roman" w:hAnsi="Times New Roman" w:cs="Times New Roman"/>
          <w:color w:val="000000"/>
          <w:sz w:val="24"/>
          <w:szCs w:val="24"/>
          <w:shd w:val="clear" w:color="auto" w:fill="FFFFFF"/>
          <w:lang w:val="en-GB" w:eastAsia="de-DE"/>
        </w:rPr>
        <w:t xml:space="preserve">has lived the deepest financial </w:t>
      </w:r>
      <w:r w:rsidRPr="00497A81">
        <w:rPr>
          <w:rFonts w:ascii="Times New Roman" w:eastAsia="Times New Roman" w:hAnsi="Times New Roman" w:cs="Times New Roman"/>
          <w:color w:val="000000"/>
          <w:sz w:val="24"/>
          <w:szCs w:val="24"/>
          <w:shd w:val="clear" w:color="auto" w:fill="FFFFFF"/>
          <w:lang w:val="en-GB" w:eastAsia="de-DE"/>
        </w:rPr>
        <w:t xml:space="preserve">crisis since 1929, and among the </w:t>
      </w:r>
      <w:r w:rsidR="009229A7" w:rsidRPr="00497A81">
        <w:rPr>
          <w:rFonts w:ascii="Times New Roman" w:eastAsia="Times New Roman" w:hAnsi="Times New Roman" w:cs="Times New Roman"/>
          <w:color w:val="000000"/>
          <w:sz w:val="24"/>
          <w:szCs w:val="24"/>
          <w:shd w:val="clear" w:color="auto" w:fill="FFFFFF"/>
          <w:lang w:val="en-GB" w:eastAsia="de-DE"/>
        </w:rPr>
        <w:t>rather numerous really important</w:t>
      </w:r>
      <w:r w:rsidRPr="00497A81">
        <w:rPr>
          <w:rFonts w:ascii="Times New Roman" w:eastAsia="Times New Roman" w:hAnsi="Times New Roman" w:cs="Times New Roman"/>
          <w:color w:val="000000"/>
          <w:sz w:val="24"/>
          <w:szCs w:val="24"/>
          <w:shd w:val="clear" w:color="auto" w:fill="FFFFFF"/>
          <w:lang w:val="en-GB" w:eastAsia="de-DE"/>
        </w:rPr>
        <w:t xml:space="preserve"> causes</w:t>
      </w:r>
      <w:r w:rsidR="009F478D"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 xml:space="preserve"> two were prominent which clea</w:t>
      </w:r>
      <w:r w:rsidR="006E33C3" w:rsidRPr="00497A81">
        <w:rPr>
          <w:rFonts w:ascii="Times New Roman" w:eastAsia="Times New Roman" w:hAnsi="Times New Roman" w:cs="Times New Roman"/>
          <w:color w:val="000000"/>
          <w:sz w:val="24"/>
          <w:szCs w:val="24"/>
          <w:shd w:val="clear" w:color="auto" w:fill="FFFFFF"/>
          <w:lang w:val="en-GB" w:eastAsia="de-DE"/>
        </w:rPr>
        <w:t>rly had to do with contract law:</w:t>
      </w:r>
      <w:r w:rsidRPr="00497A81">
        <w:rPr>
          <w:rFonts w:ascii="Times New Roman" w:eastAsia="Times New Roman" w:hAnsi="Times New Roman" w:cs="Times New Roman"/>
          <w:color w:val="000000"/>
          <w:sz w:val="24"/>
          <w:szCs w:val="24"/>
          <w:shd w:val="clear" w:color="auto" w:fill="FFFFFF"/>
          <w:lang w:val="en-GB" w:eastAsia="de-DE"/>
        </w:rPr>
        <w:t xml:space="preserve"> Subprime lending </w:t>
      </w:r>
      <w:r w:rsidR="006E33C3" w:rsidRPr="00497A81">
        <w:rPr>
          <w:rFonts w:ascii="Times New Roman" w:eastAsia="Times New Roman" w:hAnsi="Times New Roman" w:cs="Times New Roman"/>
          <w:color w:val="000000"/>
          <w:sz w:val="24"/>
          <w:szCs w:val="24"/>
          <w:shd w:val="clear" w:color="auto" w:fill="FFFFFF"/>
          <w:lang w:val="en-GB" w:eastAsia="de-DE"/>
        </w:rPr>
        <w:t xml:space="preserve">(to consumers) </w:t>
      </w:r>
      <w:r w:rsidR="009F478D" w:rsidRPr="00497A81">
        <w:rPr>
          <w:rFonts w:ascii="Times New Roman" w:eastAsia="Times New Roman" w:hAnsi="Times New Roman" w:cs="Times New Roman"/>
          <w:color w:val="000000"/>
          <w:sz w:val="24"/>
          <w:szCs w:val="24"/>
          <w:shd w:val="clear" w:color="auto" w:fill="FFFFFF"/>
          <w:lang w:val="en-GB" w:eastAsia="de-DE"/>
        </w:rPr>
        <w:t>formed</w:t>
      </w:r>
      <w:r w:rsidRPr="00497A81">
        <w:rPr>
          <w:rFonts w:ascii="Times New Roman" w:eastAsia="Times New Roman" w:hAnsi="Times New Roman" w:cs="Times New Roman"/>
          <w:color w:val="000000"/>
          <w:sz w:val="24"/>
          <w:szCs w:val="24"/>
          <w:shd w:val="clear" w:color="auto" w:fill="FFFFFF"/>
          <w:lang w:val="en-GB" w:eastAsia="de-DE"/>
        </w:rPr>
        <w:t xml:space="preserve"> the raw material from which </w:t>
      </w:r>
      <w:r w:rsidR="009F478D" w:rsidRPr="00497A81">
        <w:rPr>
          <w:rFonts w:ascii="Times New Roman" w:eastAsia="Times New Roman" w:hAnsi="Times New Roman" w:cs="Times New Roman"/>
          <w:color w:val="000000"/>
          <w:sz w:val="24"/>
          <w:szCs w:val="24"/>
          <w:shd w:val="clear" w:color="auto" w:fill="FFFFFF"/>
          <w:lang w:val="en-GB" w:eastAsia="de-DE"/>
        </w:rPr>
        <w:t>the toxic papers were conceived</w:t>
      </w:r>
      <w:r w:rsidR="00B97FB9" w:rsidRPr="00497A81">
        <w:rPr>
          <w:rFonts w:ascii="Times New Roman" w:eastAsia="Times New Roman" w:hAnsi="Times New Roman" w:cs="Times New Roman"/>
          <w:color w:val="000000"/>
          <w:sz w:val="24"/>
          <w:szCs w:val="24"/>
          <w:shd w:val="clear" w:color="auto" w:fill="FFFFFF"/>
          <w:lang w:val="en-GB" w:eastAsia="de-DE"/>
        </w:rPr>
        <w:t xml:space="preserve"> (‘structured’)</w:t>
      </w:r>
      <w:r w:rsidR="009F478D" w:rsidRPr="00497A81">
        <w:rPr>
          <w:rFonts w:ascii="Times New Roman" w:eastAsia="Times New Roman" w:hAnsi="Times New Roman" w:cs="Times New Roman"/>
          <w:color w:val="000000"/>
          <w:sz w:val="24"/>
          <w:szCs w:val="24"/>
          <w:shd w:val="clear" w:color="auto" w:fill="FFFFFF"/>
          <w:lang w:val="en-GB" w:eastAsia="de-DE"/>
        </w:rPr>
        <w:t>;</w:t>
      </w:r>
      <w:r w:rsidR="006E33C3"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
      </w:r>
      <w:r w:rsidR="009F478D" w:rsidRPr="00497A81">
        <w:rPr>
          <w:rFonts w:ascii="Times New Roman" w:eastAsia="Times New Roman" w:hAnsi="Times New Roman" w:cs="Times New Roman"/>
          <w:color w:val="000000"/>
          <w:sz w:val="24"/>
          <w:szCs w:val="24"/>
          <w:shd w:val="clear" w:color="auto" w:fill="FFFFFF"/>
          <w:lang w:val="en-GB" w:eastAsia="de-DE"/>
        </w:rPr>
        <w:t xml:space="preserve"> and lack of transparency of those papers (exacerbated by</w:t>
      </w:r>
      <w:r w:rsidRPr="00497A81">
        <w:rPr>
          <w:rFonts w:ascii="Times New Roman" w:eastAsia="Times New Roman" w:hAnsi="Times New Roman" w:cs="Times New Roman"/>
          <w:color w:val="000000"/>
          <w:sz w:val="24"/>
          <w:szCs w:val="24"/>
          <w:shd w:val="clear" w:color="auto" w:fill="FFFFFF"/>
          <w:lang w:val="en-GB" w:eastAsia="de-DE"/>
        </w:rPr>
        <w:t xml:space="preserve"> mislead </w:t>
      </w:r>
      <w:r w:rsidR="009F478D" w:rsidRPr="00497A81">
        <w:rPr>
          <w:rFonts w:ascii="Times New Roman" w:eastAsia="Times New Roman" w:hAnsi="Times New Roman" w:cs="Times New Roman"/>
          <w:color w:val="000000"/>
          <w:sz w:val="24"/>
          <w:szCs w:val="24"/>
          <w:shd w:val="clear" w:color="auto" w:fill="FFFFFF"/>
          <w:lang w:val="en-GB" w:eastAsia="de-DE"/>
        </w:rPr>
        <w:t>AAA rating</w:t>
      </w:r>
      <w:r w:rsidR="00B97FB9" w:rsidRPr="00497A81">
        <w:rPr>
          <w:rFonts w:ascii="Times New Roman" w:eastAsia="Times New Roman" w:hAnsi="Times New Roman" w:cs="Times New Roman"/>
          <w:color w:val="000000"/>
          <w:sz w:val="24"/>
          <w:szCs w:val="24"/>
          <w:shd w:val="clear" w:color="auto" w:fill="FFFFFF"/>
          <w:lang w:val="en-GB" w:eastAsia="de-DE"/>
        </w:rPr>
        <w:t>s</w:t>
      </w:r>
      <w:r w:rsidR="009F478D" w:rsidRPr="00497A81">
        <w:rPr>
          <w:rFonts w:ascii="Times New Roman" w:eastAsia="Times New Roman" w:hAnsi="Times New Roman" w:cs="Times New Roman"/>
          <w:color w:val="000000"/>
          <w:sz w:val="24"/>
          <w:szCs w:val="24"/>
          <w:shd w:val="clear" w:color="auto" w:fill="FFFFFF"/>
          <w:lang w:val="en-GB" w:eastAsia="de-DE"/>
        </w:rPr>
        <w:t>) was seen as the main source of over-optimistic and poorly</w:t>
      </w:r>
      <w:r w:rsidRPr="00497A81">
        <w:rPr>
          <w:rFonts w:ascii="Times New Roman" w:eastAsia="Times New Roman" w:hAnsi="Times New Roman" w:cs="Times New Roman"/>
          <w:color w:val="000000"/>
          <w:sz w:val="24"/>
          <w:szCs w:val="24"/>
          <w:shd w:val="clear" w:color="auto" w:fill="FFFFFF"/>
          <w:lang w:val="en-GB" w:eastAsia="de-DE"/>
        </w:rPr>
        <w:t xml:space="preserve"> diversified investment strategies of market participant</w:t>
      </w:r>
      <w:r w:rsidR="009F478D" w:rsidRPr="00497A81">
        <w:rPr>
          <w:rFonts w:ascii="Times New Roman" w:eastAsia="Times New Roman" w:hAnsi="Times New Roman" w:cs="Times New Roman"/>
          <w:color w:val="000000"/>
          <w:sz w:val="24"/>
          <w:szCs w:val="24"/>
          <w:shd w:val="clear" w:color="auto" w:fill="FFFFFF"/>
          <w:lang w:val="en-GB" w:eastAsia="de-DE"/>
        </w:rPr>
        <w:t>s</w:t>
      </w:r>
      <w:r w:rsidRPr="00497A81">
        <w:rPr>
          <w:rFonts w:ascii="Times New Roman" w:eastAsia="Times New Roman" w:hAnsi="Times New Roman" w:cs="Times New Roman"/>
          <w:color w:val="000000"/>
          <w:sz w:val="24"/>
          <w:szCs w:val="24"/>
          <w:shd w:val="clear" w:color="auto" w:fill="FFFFFF"/>
          <w:lang w:val="en-GB" w:eastAsia="de-DE"/>
        </w:rPr>
        <w:t xml:space="preserve"> of all kinds.</w:t>
      </w:r>
      <w:r w:rsidR="006E33C3"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
      </w:r>
      <w:r w:rsidR="006E33C3" w:rsidRPr="00497A81">
        <w:rPr>
          <w:rFonts w:ascii="Times New Roman" w:eastAsia="Times New Roman" w:hAnsi="Times New Roman" w:cs="Times New Roman"/>
          <w:color w:val="000000"/>
          <w:sz w:val="24"/>
          <w:szCs w:val="24"/>
          <w:shd w:val="clear" w:color="auto" w:fill="FFFFFF"/>
          <w:lang w:val="en-GB" w:eastAsia="de-DE"/>
        </w:rPr>
        <w:t xml:space="preserve"> It is therefore not astonishing that also contract law – and very prominently EU contract la</w:t>
      </w:r>
      <w:r w:rsidR="009F478D" w:rsidRPr="00497A81">
        <w:rPr>
          <w:rFonts w:ascii="Times New Roman" w:eastAsia="Times New Roman" w:hAnsi="Times New Roman" w:cs="Times New Roman"/>
          <w:color w:val="000000"/>
          <w:sz w:val="24"/>
          <w:szCs w:val="24"/>
          <w:shd w:val="clear" w:color="auto" w:fill="FFFFFF"/>
          <w:lang w:val="en-GB" w:eastAsia="de-DE"/>
        </w:rPr>
        <w:t>w – was subjected to</w:t>
      </w:r>
      <w:r w:rsidR="006E33C3" w:rsidRPr="00497A81">
        <w:rPr>
          <w:rFonts w:ascii="Times New Roman" w:eastAsia="Times New Roman" w:hAnsi="Times New Roman" w:cs="Times New Roman"/>
          <w:color w:val="000000"/>
          <w:sz w:val="24"/>
          <w:szCs w:val="24"/>
          <w:shd w:val="clear" w:color="auto" w:fill="FFFFFF"/>
          <w:lang w:val="en-GB" w:eastAsia="de-DE"/>
        </w:rPr>
        <w:t xml:space="preserve"> fundamental </w:t>
      </w:r>
      <w:r w:rsidR="009F478D" w:rsidRPr="00497A81">
        <w:rPr>
          <w:rFonts w:ascii="Times New Roman" w:eastAsia="Times New Roman" w:hAnsi="Times New Roman" w:cs="Times New Roman"/>
          <w:color w:val="000000"/>
          <w:sz w:val="24"/>
          <w:szCs w:val="24"/>
          <w:shd w:val="clear" w:color="auto" w:fill="FFFFFF"/>
          <w:lang w:val="en-GB" w:eastAsia="de-DE"/>
        </w:rPr>
        <w:t>change</w:t>
      </w:r>
      <w:r w:rsidR="004366D3" w:rsidRPr="00497A81">
        <w:rPr>
          <w:rFonts w:ascii="Times New Roman" w:eastAsia="Times New Roman" w:hAnsi="Times New Roman" w:cs="Times New Roman"/>
          <w:color w:val="000000"/>
          <w:sz w:val="24"/>
          <w:szCs w:val="24"/>
          <w:shd w:val="clear" w:color="auto" w:fill="FFFFFF"/>
          <w:lang w:val="en-GB" w:eastAsia="de-DE"/>
        </w:rPr>
        <w:t xml:space="preserve"> in these </w:t>
      </w:r>
      <w:r w:rsidR="004366D3" w:rsidRPr="00497A81">
        <w:rPr>
          <w:rFonts w:ascii="Times New Roman" w:eastAsia="Times New Roman" w:hAnsi="Times New Roman" w:cs="Times New Roman"/>
          <w:color w:val="000000"/>
          <w:sz w:val="24"/>
          <w:szCs w:val="24"/>
          <w:shd w:val="clear" w:color="auto" w:fill="FFFFFF"/>
          <w:lang w:val="en-GB" w:eastAsia="de-DE"/>
        </w:rPr>
        <w:lastRenderedPageBreak/>
        <w:t>fields</w:t>
      </w:r>
      <w:r w:rsidR="006E33C3" w:rsidRPr="00497A81">
        <w:rPr>
          <w:rFonts w:ascii="Times New Roman" w:eastAsia="Times New Roman" w:hAnsi="Times New Roman" w:cs="Times New Roman"/>
          <w:color w:val="000000"/>
          <w:sz w:val="24"/>
          <w:szCs w:val="24"/>
          <w:shd w:val="clear" w:color="auto" w:fill="FFFFFF"/>
          <w:lang w:val="en-GB" w:eastAsia="de-DE"/>
        </w:rPr>
        <w:t xml:space="preserve">: in the area of consumer credits with the thorough reform of the EU Consumer Credit Directive and the </w:t>
      </w:r>
      <w:r w:rsidR="008F4879" w:rsidRPr="00497A81">
        <w:rPr>
          <w:rFonts w:ascii="Times New Roman" w:eastAsia="Times New Roman" w:hAnsi="Times New Roman" w:cs="Times New Roman"/>
          <w:color w:val="000000"/>
          <w:sz w:val="24"/>
          <w:szCs w:val="24"/>
          <w:shd w:val="clear" w:color="auto" w:fill="FFFFFF"/>
          <w:lang w:val="en-GB" w:eastAsia="de-DE"/>
        </w:rPr>
        <w:t xml:space="preserve">(completely new) </w:t>
      </w:r>
      <w:r w:rsidR="009F478D" w:rsidRPr="00497A81">
        <w:rPr>
          <w:rFonts w:ascii="Times New Roman" w:eastAsia="Times New Roman" w:hAnsi="Times New Roman" w:cs="Times New Roman"/>
          <w:color w:val="000000"/>
          <w:sz w:val="24"/>
          <w:szCs w:val="24"/>
          <w:shd w:val="clear" w:color="auto" w:fill="FFFFFF"/>
          <w:lang w:val="en-GB" w:eastAsia="de-DE"/>
        </w:rPr>
        <w:t>adoption</w:t>
      </w:r>
      <w:r w:rsidR="006E33C3" w:rsidRPr="00497A81">
        <w:rPr>
          <w:rFonts w:ascii="Times New Roman" w:eastAsia="Times New Roman" w:hAnsi="Times New Roman" w:cs="Times New Roman"/>
          <w:color w:val="000000"/>
          <w:sz w:val="24"/>
          <w:szCs w:val="24"/>
          <w:shd w:val="clear" w:color="auto" w:fill="FFFFFF"/>
          <w:lang w:val="en-GB" w:eastAsia="de-DE"/>
        </w:rPr>
        <w:t xml:space="preserve"> of a (Consumer) Mortgage Credit Directive</w:t>
      </w:r>
      <w:r w:rsidR="009F478D" w:rsidRPr="00497A81">
        <w:rPr>
          <w:rFonts w:ascii="Times New Roman" w:eastAsia="Times New Roman" w:hAnsi="Times New Roman" w:cs="Times New Roman"/>
          <w:color w:val="000000"/>
          <w:sz w:val="24"/>
          <w:szCs w:val="24"/>
          <w:shd w:val="clear" w:color="auto" w:fill="FFFFFF"/>
          <w:lang w:val="en-GB" w:eastAsia="de-DE"/>
        </w:rPr>
        <w:t xml:space="preserve"> introducing, among others, </w:t>
      </w:r>
      <w:r w:rsidR="00B97FB9" w:rsidRPr="00497A81">
        <w:rPr>
          <w:rFonts w:ascii="Times New Roman" w:eastAsia="Times New Roman" w:hAnsi="Times New Roman" w:cs="Times New Roman"/>
          <w:color w:val="000000"/>
          <w:sz w:val="24"/>
          <w:szCs w:val="24"/>
          <w:shd w:val="clear" w:color="auto" w:fill="FFFFFF"/>
          <w:lang w:val="en-GB" w:eastAsia="de-DE"/>
        </w:rPr>
        <w:t xml:space="preserve">for the first time also </w:t>
      </w:r>
      <w:r w:rsidR="009F478D" w:rsidRPr="00497A81">
        <w:rPr>
          <w:rFonts w:ascii="Times New Roman" w:eastAsia="Times New Roman" w:hAnsi="Times New Roman" w:cs="Times New Roman"/>
          <w:color w:val="000000"/>
          <w:sz w:val="24"/>
          <w:szCs w:val="24"/>
          <w:shd w:val="clear" w:color="auto" w:fill="FFFFFF"/>
          <w:lang w:val="en-GB" w:eastAsia="de-DE"/>
        </w:rPr>
        <w:t>a duty of responsible lending</w:t>
      </w:r>
      <w:r w:rsidR="006E33C3" w:rsidRPr="00497A81">
        <w:rPr>
          <w:rFonts w:ascii="Times New Roman" w:eastAsia="Times New Roman" w:hAnsi="Times New Roman" w:cs="Times New Roman"/>
          <w:color w:val="000000"/>
          <w:sz w:val="24"/>
          <w:szCs w:val="24"/>
          <w:shd w:val="clear" w:color="auto" w:fill="FFFFFF"/>
          <w:lang w:val="en-GB" w:eastAsia="de-DE"/>
        </w:rPr>
        <w:t>,</w:t>
      </w:r>
      <w:r w:rsidR="006E33C3"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3"/>
      </w:r>
      <w:r w:rsidR="006E33C3" w:rsidRPr="00497A81">
        <w:rPr>
          <w:rFonts w:ascii="Times New Roman" w:eastAsia="Times New Roman" w:hAnsi="Times New Roman" w:cs="Times New Roman"/>
          <w:color w:val="000000"/>
          <w:sz w:val="24"/>
          <w:szCs w:val="24"/>
          <w:shd w:val="clear" w:color="auto" w:fill="FFFFFF"/>
          <w:lang w:val="en-GB" w:eastAsia="de-DE"/>
        </w:rPr>
        <w:t xml:space="preserve">  and in the area of investment services with the fundamental reform of the Markets in Financial Instruments Directive (MiFID, now MiFID II)</w:t>
      </w:r>
      <w:r w:rsidR="009F478D" w:rsidRPr="00497A81">
        <w:rPr>
          <w:rFonts w:ascii="Times New Roman" w:eastAsia="Times New Roman" w:hAnsi="Times New Roman" w:cs="Times New Roman"/>
          <w:color w:val="000000"/>
          <w:sz w:val="24"/>
          <w:szCs w:val="24"/>
          <w:shd w:val="clear" w:color="auto" w:fill="FFFFFF"/>
          <w:lang w:val="en-GB" w:eastAsia="de-DE"/>
        </w:rPr>
        <w:t>, introducing many new instruments, among them also product related governance rules</w:t>
      </w:r>
      <w:r w:rsidR="006E33C3" w:rsidRPr="00497A81">
        <w:rPr>
          <w:rFonts w:ascii="Times New Roman" w:eastAsia="Times New Roman" w:hAnsi="Times New Roman" w:cs="Times New Roman"/>
          <w:color w:val="000000"/>
          <w:sz w:val="24"/>
          <w:szCs w:val="24"/>
          <w:shd w:val="clear" w:color="auto" w:fill="FFFFFF"/>
          <w:lang w:val="en-GB" w:eastAsia="de-DE"/>
        </w:rPr>
        <w:t>.</w:t>
      </w:r>
      <w:r w:rsidR="006E33C3"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4"/>
      </w:r>
    </w:p>
    <w:p w14:paraId="3AD47574" w14:textId="77777777" w:rsidR="006E33C3" w:rsidRPr="00497A81" w:rsidRDefault="006E33C3" w:rsidP="0038441A">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These reforms are so rich, contain so many single new solutions and are so disputed that analysing them from the perspective of their efficiency </w:t>
      </w:r>
      <w:r w:rsidR="008F4879" w:rsidRPr="00497A81">
        <w:rPr>
          <w:rFonts w:ascii="Times New Roman" w:eastAsia="Times New Roman" w:hAnsi="Times New Roman" w:cs="Times New Roman"/>
          <w:color w:val="000000"/>
          <w:sz w:val="24"/>
          <w:szCs w:val="24"/>
          <w:shd w:val="clear" w:color="auto" w:fill="FFFFFF"/>
          <w:lang w:val="en-GB" w:eastAsia="de-DE"/>
        </w:rPr>
        <w:t xml:space="preserve">enhancing potential </w:t>
      </w:r>
      <w:r w:rsidRPr="00497A81">
        <w:rPr>
          <w:rFonts w:ascii="Times New Roman" w:eastAsia="Times New Roman" w:hAnsi="Times New Roman" w:cs="Times New Roman"/>
          <w:color w:val="000000"/>
          <w:sz w:val="24"/>
          <w:szCs w:val="24"/>
          <w:shd w:val="clear" w:color="auto" w:fill="FFFFFF"/>
          <w:lang w:val="en-GB" w:eastAsia="de-DE"/>
        </w:rPr>
        <w:t>would already provide enough material not for a lengthy paper, but for a comprehensive monograph.</w:t>
      </w:r>
      <w:r w:rsidR="008F4879"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5"/>
      </w:r>
      <w:r w:rsidRPr="00497A81">
        <w:rPr>
          <w:rFonts w:ascii="Times New Roman" w:eastAsia="Times New Roman" w:hAnsi="Times New Roman" w:cs="Times New Roman"/>
          <w:color w:val="000000"/>
          <w:sz w:val="24"/>
          <w:szCs w:val="24"/>
          <w:shd w:val="clear" w:color="auto" w:fill="FFFFFF"/>
          <w:lang w:val="en-GB" w:eastAsia="de-DE"/>
        </w:rPr>
        <w:t xml:space="preserve"> Instead, we propose to see these reform measures and the </w:t>
      </w:r>
      <w:r w:rsidR="001220B9" w:rsidRPr="00497A81">
        <w:rPr>
          <w:rFonts w:ascii="Times New Roman" w:eastAsia="Times New Roman" w:hAnsi="Times New Roman" w:cs="Times New Roman"/>
          <w:color w:val="000000"/>
          <w:sz w:val="24"/>
          <w:szCs w:val="24"/>
          <w:shd w:val="clear" w:color="auto" w:fill="FFFFFF"/>
          <w:lang w:val="en-GB" w:eastAsia="de-DE"/>
        </w:rPr>
        <w:t>most striking new solutions found as paradigmatic and exemplary cases. We think that, again, banking law, namely banking contract law, can be seen as a motor of private law more generally,</w:t>
      </w:r>
      <w:r w:rsidR="001220B9"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6"/>
      </w:r>
      <w:r w:rsidR="001220B9" w:rsidRPr="00497A81">
        <w:rPr>
          <w:rFonts w:ascii="Times New Roman" w:eastAsia="Times New Roman" w:hAnsi="Times New Roman" w:cs="Times New Roman"/>
          <w:color w:val="000000"/>
          <w:sz w:val="24"/>
          <w:szCs w:val="24"/>
          <w:shd w:val="clear" w:color="auto" w:fill="FFFFFF"/>
          <w:lang w:val="en-GB" w:eastAsia="de-DE"/>
        </w:rPr>
        <w:t xml:space="preserve"> namely also of consumer contract law.</w:t>
      </w:r>
    </w:p>
    <w:p w14:paraId="03AAABC0" w14:textId="106E978D" w:rsidR="009F478D" w:rsidRPr="00497A81" w:rsidRDefault="009F478D" w:rsidP="009F478D">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If financial services contract law is therefore the subject matter of this </w:t>
      </w:r>
      <w:r w:rsidR="005873F2">
        <w:rPr>
          <w:rFonts w:ascii="Times New Roman" w:eastAsia="Times New Roman" w:hAnsi="Times New Roman" w:cs="Times New Roman"/>
          <w:color w:val="000000"/>
          <w:sz w:val="24"/>
          <w:szCs w:val="24"/>
          <w:shd w:val="clear" w:color="auto" w:fill="FFFFFF"/>
          <w:lang w:val="en-GB" w:eastAsia="de-DE"/>
        </w:rPr>
        <w:t>article</w:t>
      </w:r>
      <w:r w:rsidRPr="00497A81">
        <w:rPr>
          <w:rFonts w:ascii="Times New Roman" w:eastAsia="Times New Roman" w:hAnsi="Times New Roman" w:cs="Times New Roman"/>
          <w:color w:val="000000"/>
          <w:sz w:val="24"/>
          <w:szCs w:val="24"/>
          <w:shd w:val="clear" w:color="auto" w:fill="FFFFFF"/>
          <w:lang w:val="en-GB" w:eastAsia="de-DE"/>
        </w:rPr>
        <w:t>, there is a third reason for choosing this area – besides fundamental reform (leading to what at least the EU legislature understood as one the examples of highly cutting edge legislation) and besides the paradigmatic and innovative power of financial services law</w:t>
      </w:r>
      <w:r w:rsidR="00B97FB9" w:rsidRPr="00497A81">
        <w:rPr>
          <w:rFonts w:ascii="Times New Roman" w:eastAsia="Times New Roman" w:hAnsi="Times New Roman" w:cs="Times New Roman"/>
          <w:color w:val="000000"/>
          <w:sz w:val="24"/>
          <w:szCs w:val="24"/>
          <w:shd w:val="clear" w:color="auto" w:fill="FFFFFF"/>
          <w:lang w:val="en-GB" w:eastAsia="de-DE"/>
        </w:rPr>
        <w:t xml:space="preserve"> for all private and contract law</w:t>
      </w:r>
      <w:r w:rsidRPr="00497A81">
        <w:rPr>
          <w:rFonts w:ascii="Times New Roman" w:eastAsia="Times New Roman" w:hAnsi="Times New Roman" w:cs="Times New Roman"/>
          <w:color w:val="000000"/>
          <w:sz w:val="24"/>
          <w:szCs w:val="24"/>
          <w:shd w:val="clear" w:color="auto" w:fill="FFFFFF"/>
          <w:lang w:val="en-GB" w:eastAsia="de-DE"/>
        </w:rPr>
        <w:t xml:space="preserve">: There are probably not many areas of EU private and contract law where the images of different kinds of clients or consumers and the types of instruments for protection used are </w:t>
      </w:r>
      <w:r w:rsidR="008F4879" w:rsidRPr="00497A81">
        <w:rPr>
          <w:rFonts w:ascii="Times New Roman" w:eastAsia="Times New Roman" w:hAnsi="Times New Roman" w:cs="Times New Roman"/>
          <w:color w:val="000000"/>
          <w:sz w:val="24"/>
          <w:szCs w:val="24"/>
          <w:shd w:val="clear" w:color="auto" w:fill="FFFFFF"/>
          <w:lang w:val="en-GB" w:eastAsia="de-DE"/>
        </w:rPr>
        <w:t>as</w:t>
      </w:r>
      <w:r w:rsidRPr="00497A81">
        <w:rPr>
          <w:rFonts w:ascii="Times New Roman" w:eastAsia="Times New Roman" w:hAnsi="Times New Roman" w:cs="Times New Roman"/>
          <w:color w:val="000000"/>
          <w:sz w:val="24"/>
          <w:szCs w:val="24"/>
          <w:shd w:val="clear" w:color="auto" w:fill="FFFFFF"/>
          <w:lang w:val="en-GB" w:eastAsia="de-DE"/>
        </w:rPr>
        <w:t xml:space="preserve"> manifold and </w:t>
      </w:r>
      <w:r w:rsidR="008F4879" w:rsidRPr="00497A81">
        <w:rPr>
          <w:rFonts w:ascii="Times New Roman" w:eastAsia="Times New Roman" w:hAnsi="Times New Roman" w:cs="Times New Roman"/>
          <w:color w:val="000000"/>
          <w:sz w:val="24"/>
          <w:szCs w:val="24"/>
          <w:shd w:val="clear" w:color="auto" w:fill="FFFFFF"/>
          <w:lang w:val="en-GB" w:eastAsia="de-DE"/>
        </w:rPr>
        <w:t xml:space="preserve">as </w:t>
      </w:r>
      <w:r w:rsidRPr="00497A81">
        <w:rPr>
          <w:rFonts w:ascii="Times New Roman" w:eastAsia="Times New Roman" w:hAnsi="Times New Roman" w:cs="Times New Roman"/>
          <w:color w:val="000000"/>
          <w:sz w:val="24"/>
          <w:szCs w:val="24"/>
          <w:shd w:val="clear" w:color="auto" w:fill="FFFFFF"/>
          <w:lang w:val="en-GB" w:eastAsia="de-DE"/>
        </w:rPr>
        <w:t>varied as in financial services law.</w:t>
      </w:r>
      <w:r w:rsidR="00375AFF"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7"/>
      </w:r>
      <w:r w:rsidRPr="00497A81">
        <w:rPr>
          <w:rFonts w:ascii="Times New Roman" w:eastAsia="Times New Roman" w:hAnsi="Times New Roman" w:cs="Times New Roman"/>
          <w:color w:val="000000"/>
          <w:sz w:val="24"/>
          <w:szCs w:val="24"/>
          <w:shd w:val="clear" w:color="auto" w:fill="FFFFFF"/>
          <w:lang w:val="en-GB" w:eastAsia="de-DE"/>
        </w:rPr>
        <w:t xml:space="preserve"> Therefore</w:t>
      </w:r>
      <w:r w:rsidR="008F4879"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 xml:space="preserve"> the legal material is not only cutting edge legislation, sensed as being particularly paradigmatic, but it </w:t>
      </w:r>
      <w:r w:rsidR="00B97FB9" w:rsidRPr="00497A81">
        <w:rPr>
          <w:rFonts w:ascii="Times New Roman" w:eastAsia="Times New Roman" w:hAnsi="Times New Roman" w:cs="Times New Roman"/>
          <w:color w:val="000000"/>
          <w:sz w:val="24"/>
          <w:szCs w:val="24"/>
          <w:shd w:val="clear" w:color="auto" w:fill="FFFFFF"/>
          <w:lang w:val="en-GB" w:eastAsia="de-DE"/>
        </w:rPr>
        <w:t>is also extremely varied; a good basis for institutional comparison and normative assessment.</w:t>
      </w:r>
    </w:p>
    <w:p w14:paraId="5C3DB6A8" w14:textId="320CDA82" w:rsidR="003860D6" w:rsidRDefault="009F478D" w:rsidP="00743743">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This material will be u</w:t>
      </w:r>
      <w:r w:rsidRPr="00DE55A7">
        <w:rPr>
          <w:rFonts w:ascii="Times New Roman" w:eastAsia="Times New Roman" w:hAnsi="Times New Roman" w:cs="Times New Roman"/>
          <w:color w:val="000000"/>
          <w:sz w:val="24"/>
          <w:szCs w:val="24"/>
          <w:shd w:val="clear" w:color="auto" w:fill="FFFFFF"/>
          <w:lang w:val="en-GB" w:eastAsia="de-DE"/>
        </w:rPr>
        <w:t xml:space="preserve">sed </w:t>
      </w:r>
      <w:r w:rsidR="008F4879" w:rsidRPr="00DE55A7">
        <w:rPr>
          <w:rFonts w:ascii="Times New Roman" w:eastAsia="Times New Roman" w:hAnsi="Times New Roman" w:cs="Times New Roman"/>
          <w:color w:val="000000"/>
          <w:sz w:val="24"/>
          <w:szCs w:val="24"/>
          <w:shd w:val="clear" w:color="auto" w:fill="FFFFFF"/>
          <w:lang w:val="en-GB" w:eastAsia="de-DE"/>
        </w:rPr>
        <w:t>and analysed in two ways mainly: I</w:t>
      </w:r>
      <w:r w:rsidRPr="00DE55A7">
        <w:rPr>
          <w:rFonts w:ascii="Times New Roman" w:eastAsia="Times New Roman" w:hAnsi="Times New Roman" w:cs="Times New Roman"/>
          <w:color w:val="000000"/>
          <w:sz w:val="24"/>
          <w:szCs w:val="24"/>
          <w:shd w:val="clear" w:color="auto" w:fill="FFFFFF"/>
          <w:lang w:val="en-GB" w:eastAsia="de-DE"/>
        </w:rPr>
        <w:t>n a first step, we propose to revisit a foundational question</w:t>
      </w:r>
      <w:r w:rsidR="00F30519" w:rsidRPr="00DE55A7">
        <w:rPr>
          <w:rFonts w:ascii="Times New Roman" w:eastAsia="Times New Roman" w:hAnsi="Times New Roman" w:cs="Times New Roman"/>
          <w:color w:val="000000"/>
          <w:sz w:val="24"/>
          <w:szCs w:val="24"/>
          <w:shd w:val="clear" w:color="auto" w:fill="FFFFFF"/>
          <w:lang w:val="en-GB" w:eastAsia="de-DE"/>
        </w:rPr>
        <w:t>:</w:t>
      </w:r>
      <w:r w:rsidRPr="00DE55A7">
        <w:rPr>
          <w:rFonts w:ascii="Times New Roman" w:eastAsia="Times New Roman" w:hAnsi="Times New Roman" w:cs="Times New Roman"/>
          <w:color w:val="000000"/>
          <w:sz w:val="24"/>
          <w:szCs w:val="24"/>
          <w:shd w:val="clear" w:color="auto" w:fill="FFFFFF"/>
          <w:lang w:val="en-GB" w:eastAsia="de-DE"/>
        </w:rPr>
        <w:t xml:space="preserve"> We will ask </w:t>
      </w:r>
      <w:r w:rsidR="008F4879" w:rsidRPr="00DE55A7">
        <w:rPr>
          <w:rFonts w:ascii="Times New Roman" w:eastAsia="Times New Roman" w:hAnsi="Times New Roman" w:cs="Times New Roman"/>
          <w:color w:val="000000"/>
          <w:sz w:val="24"/>
          <w:szCs w:val="24"/>
          <w:shd w:val="clear" w:color="auto" w:fill="FFFFFF"/>
          <w:lang w:val="en-GB" w:eastAsia="de-DE"/>
        </w:rPr>
        <w:t xml:space="preserve">the question anew </w:t>
      </w:r>
      <w:r w:rsidRPr="00DE55A7">
        <w:rPr>
          <w:rFonts w:ascii="Times New Roman" w:eastAsia="Times New Roman" w:hAnsi="Times New Roman" w:cs="Times New Roman"/>
          <w:color w:val="000000"/>
          <w:sz w:val="24"/>
          <w:szCs w:val="24"/>
          <w:shd w:val="clear" w:color="auto" w:fill="FFFFFF"/>
          <w:lang w:val="en-GB" w:eastAsia="de-DE"/>
        </w:rPr>
        <w:t xml:space="preserve">whether indeed the </w:t>
      </w:r>
      <w:r w:rsidR="002E743D" w:rsidRPr="00DE55A7">
        <w:rPr>
          <w:rFonts w:ascii="Times New Roman" w:eastAsia="Times New Roman" w:hAnsi="Times New Roman" w:cs="Times New Roman"/>
          <w:color w:val="000000"/>
          <w:sz w:val="24"/>
          <w:szCs w:val="24"/>
          <w:shd w:val="clear" w:color="auto" w:fill="FFFFFF"/>
          <w:lang w:val="en-GB" w:eastAsia="de-DE"/>
        </w:rPr>
        <w:t xml:space="preserve">goal </w:t>
      </w:r>
      <w:r w:rsidRPr="00DE55A7">
        <w:rPr>
          <w:rFonts w:ascii="Times New Roman" w:eastAsia="Times New Roman" w:hAnsi="Times New Roman" w:cs="Times New Roman"/>
          <w:color w:val="000000"/>
          <w:sz w:val="24"/>
          <w:szCs w:val="24"/>
          <w:shd w:val="clear" w:color="auto" w:fill="FFFFFF"/>
          <w:lang w:val="en-GB" w:eastAsia="de-DE"/>
        </w:rPr>
        <w:t>of markets and</w:t>
      </w:r>
      <w:r w:rsidR="005D1383" w:rsidRPr="00DE55A7">
        <w:rPr>
          <w:rFonts w:ascii="Times New Roman" w:eastAsia="Times New Roman" w:hAnsi="Times New Roman" w:cs="Times New Roman"/>
          <w:color w:val="000000"/>
          <w:sz w:val="24"/>
          <w:szCs w:val="24"/>
          <w:shd w:val="clear" w:color="auto" w:fill="FFFFFF"/>
          <w:lang w:val="en-GB" w:eastAsia="de-DE"/>
        </w:rPr>
        <w:t>,</w:t>
      </w:r>
      <w:r w:rsidRPr="00DE55A7">
        <w:rPr>
          <w:rFonts w:ascii="Times New Roman" w:eastAsia="Times New Roman" w:hAnsi="Times New Roman" w:cs="Times New Roman"/>
          <w:color w:val="000000"/>
          <w:sz w:val="24"/>
          <w:szCs w:val="24"/>
          <w:shd w:val="clear" w:color="auto" w:fill="FFFFFF"/>
          <w:lang w:val="en-GB" w:eastAsia="de-DE"/>
        </w:rPr>
        <w:t xml:space="preserve"> </w:t>
      </w:r>
      <w:r w:rsidR="00B97FB9" w:rsidRPr="00DE55A7">
        <w:rPr>
          <w:rFonts w:ascii="Times New Roman" w:eastAsia="Times New Roman" w:hAnsi="Times New Roman" w:cs="Times New Roman"/>
          <w:color w:val="000000"/>
          <w:sz w:val="24"/>
          <w:szCs w:val="24"/>
          <w:shd w:val="clear" w:color="auto" w:fill="FFFFFF"/>
          <w:lang w:val="en-GB" w:eastAsia="de-DE"/>
        </w:rPr>
        <w:t>more specifically</w:t>
      </w:r>
      <w:r w:rsidR="005D1383" w:rsidRPr="00DE55A7">
        <w:rPr>
          <w:rFonts w:ascii="Times New Roman" w:eastAsia="Times New Roman" w:hAnsi="Times New Roman" w:cs="Times New Roman"/>
          <w:color w:val="000000"/>
          <w:sz w:val="24"/>
          <w:szCs w:val="24"/>
          <w:shd w:val="clear" w:color="auto" w:fill="FFFFFF"/>
          <w:lang w:val="en-GB" w:eastAsia="de-DE"/>
        </w:rPr>
        <w:t xml:space="preserve">, </w:t>
      </w:r>
      <w:r w:rsidRPr="00DE55A7">
        <w:rPr>
          <w:rFonts w:ascii="Times New Roman" w:eastAsia="Times New Roman" w:hAnsi="Times New Roman" w:cs="Times New Roman"/>
          <w:color w:val="000000"/>
          <w:sz w:val="24"/>
          <w:szCs w:val="24"/>
          <w:shd w:val="clear" w:color="auto" w:fill="FFFFFF"/>
          <w:lang w:val="en-GB" w:eastAsia="de-DE"/>
        </w:rPr>
        <w:t xml:space="preserve">of market regulation should be seen in maximization of overall welfare – as </w:t>
      </w:r>
      <w:r w:rsidR="008F4879" w:rsidRPr="00DE55A7">
        <w:rPr>
          <w:rFonts w:ascii="Times New Roman" w:eastAsia="Times New Roman" w:hAnsi="Times New Roman" w:cs="Times New Roman"/>
          <w:color w:val="000000"/>
          <w:sz w:val="24"/>
          <w:szCs w:val="24"/>
          <w:shd w:val="clear" w:color="auto" w:fill="FFFFFF"/>
          <w:lang w:val="en-GB" w:eastAsia="de-DE"/>
        </w:rPr>
        <w:t>would seem to be</w:t>
      </w:r>
      <w:r w:rsidRPr="00DE55A7">
        <w:rPr>
          <w:rFonts w:ascii="Times New Roman" w:eastAsia="Times New Roman" w:hAnsi="Times New Roman" w:cs="Times New Roman"/>
          <w:color w:val="000000"/>
          <w:sz w:val="24"/>
          <w:szCs w:val="24"/>
          <w:shd w:val="clear" w:color="auto" w:fill="FFFFFF"/>
          <w:lang w:val="en-GB" w:eastAsia="de-DE"/>
        </w:rPr>
        <w:t xml:space="preserve"> the </w:t>
      </w:r>
      <w:r w:rsidR="001B6195" w:rsidRPr="00DE55A7">
        <w:rPr>
          <w:rFonts w:ascii="Times New Roman" w:eastAsia="Times New Roman" w:hAnsi="Times New Roman" w:cs="Times New Roman"/>
          <w:color w:val="000000"/>
          <w:sz w:val="24"/>
          <w:szCs w:val="24"/>
          <w:shd w:val="clear" w:color="auto" w:fill="FFFFFF"/>
          <w:lang w:val="en-GB" w:eastAsia="de-DE"/>
        </w:rPr>
        <w:t xml:space="preserve">mainstream view </w:t>
      </w:r>
      <w:r w:rsidR="00B97FB9" w:rsidRPr="00DE55A7">
        <w:rPr>
          <w:rFonts w:ascii="Times New Roman" w:eastAsia="Times New Roman" w:hAnsi="Times New Roman" w:cs="Times New Roman"/>
          <w:color w:val="000000"/>
          <w:sz w:val="24"/>
          <w:szCs w:val="24"/>
          <w:shd w:val="clear" w:color="auto" w:fill="FFFFFF"/>
          <w:lang w:val="en-GB" w:eastAsia="de-DE"/>
        </w:rPr>
        <w:t xml:space="preserve">(today virtually undisputed) </w:t>
      </w:r>
      <w:r w:rsidRPr="00DE55A7">
        <w:rPr>
          <w:rFonts w:ascii="Times New Roman" w:eastAsia="Times New Roman" w:hAnsi="Times New Roman" w:cs="Times New Roman"/>
          <w:color w:val="000000"/>
          <w:sz w:val="24"/>
          <w:szCs w:val="24"/>
          <w:shd w:val="clear" w:color="auto" w:fill="FFFFFF"/>
          <w:lang w:val="en-GB" w:eastAsia="de-DE"/>
        </w:rPr>
        <w:t>in economic theory</w:t>
      </w:r>
      <w:r w:rsidR="00743743" w:rsidRPr="00DE55A7">
        <w:rPr>
          <w:rFonts w:ascii="Times New Roman" w:eastAsia="Times New Roman" w:hAnsi="Times New Roman" w:cs="Times New Roman"/>
          <w:color w:val="000000"/>
          <w:sz w:val="24"/>
          <w:szCs w:val="24"/>
          <w:shd w:val="clear" w:color="auto" w:fill="FFFFFF"/>
          <w:lang w:val="en-GB" w:eastAsia="de-DE"/>
        </w:rPr>
        <w:t>.</w:t>
      </w:r>
      <w:r w:rsidRPr="00DE55A7">
        <w:rPr>
          <w:rStyle w:val="Rimandonotaapidipagina"/>
          <w:rFonts w:ascii="Times New Roman" w:eastAsia="Times New Roman" w:hAnsi="Times New Roman" w:cs="Times New Roman"/>
          <w:color w:val="000000"/>
          <w:sz w:val="24"/>
          <w:szCs w:val="24"/>
          <w:shd w:val="clear" w:color="auto" w:fill="FFFFFF"/>
          <w:lang w:val="en-GB" w:eastAsia="de-DE"/>
        </w:rPr>
        <w:footnoteReference w:id="8"/>
      </w:r>
      <w:r w:rsidRPr="00DE55A7">
        <w:rPr>
          <w:rFonts w:ascii="Times New Roman" w:eastAsia="Times New Roman" w:hAnsi="Times New Roman" w:cs="Times New Roman"/>
          <w:color w:val="000000"/>
          <w:sz w:val="24"/>
          <w:szCs w:val="24"/>
          <w:shd w:val="clear" w:color="auto" w:fill="FFFFFF"/>
          <w:lang w:val="en-GB" w:eastAsia="de-DE"/>
        </w:rPr>
        <w:t xml:space="preserve"> </w:t>
      </w:r>
      <w:r w:rsidR="00743743" w:rsidRPr="00DE55A7">
        <w:rPr>
          <w:rFonts w:ascii="Times New Roman" w:eastAsia="Times New Roman" w:hAnsi="Times New Roman" w:cs="Times New Roman"/>
          <w:color w:val="000000"/>
          <w:sz w:val="24"/>
          <w:szCs w:val="24"/>
          <w:shd w:val="clear" w:color="auto" w:fill="FFFFFF"/>
          <w:lang w:val="en-GB" w:eastAsia="de-DE"/>
        </w:rPr>
        <w:t xml:space="preserve">We will question this view and </w:t>
      </w:r>
      <w:r w:rsidR="00E36E2D" w:rsidRPr="00DE55A7">
        <w:rPr>
          <w:rFonts w:ascii="Times New Roman" w:eastAsia="Times New Roman" w:hAnsi="Times New Roman" w:cs="Times New Roman"/>
          <w:color w:val="000000"/>
          <w:sz w:val="24"/>
          <w:szCs w:val="24"/>
          <w:shd w:val="clear" w:color="auto" w:fill="FFFFFF"/>
          <w:lang w:val="en-GB" w:eastAsia="de-DE"/>
        </w:rPr>
        <w:t>suggest that it is</w:t>
      </w:r>
      <w:r w:rsidRPr="00DE55A7">
        <w:rPr>
          <w:rFonts w:ascii="Times New Roman" w:eastAsia="Times New Roman" w:hAnsi="Times New Roman" w:cs="Times New Roman"/>
          <w:color w:val="000000"/>
          <w:sz w:val="24"/>
          <w:szCs w:val="24"/>
          <w:shd w:val="clear" w:color="auto" w:fill="FFFFFF"/>
          <w:lang w:val="en-GB" w:eastAsia="de-DE"/>
        </w:rPr>
        <w:t xml:space="preserve"> more convincing to </w:t>
      </w:r>
      <w:r w:rsidR="00E36E2D" w:rsidRPr="00DE55A7">
        <w:rPr>
          <w:rFonts w:ascii="Times New Roman" w:eastAsia="Times New Roman" w:hAnsi="Times New Roman" w:cs="Times New Roman"/>
          <w:color w:val="000000"/>
          <w:sz w:val="24"/>
          <w:szCs w:val="24"/>
          <w:shd w:val="clear" w:color="auto" w:fill="FFFFFF"/>
          <w:lang w:val="en-GB" w:eastAsia="de-DE"/>
        </w:rPr>
        <w:t xml:space="preserve">identify two interrelated </w:t>
      </w:r>
      <w:r w:rsidR="00E36E2D" w:rsidRPr="00DE55A7">
        <w:rPr>
          <w:rFonts w:ascii="Times New Roman" w:eastAsia="Times New Roman" w:hAnsi="Times New Roman" w:cs="Times New Roman"/>
          <w:color w:val="000000"/>
          <w:sz w:val="24"/>
          <w:szCs w:val="24"/>
          <w:shd w:val="clear" w:color="auto" w:fill="FFFFFF"/>
          <w:lang w:val="en-GB" w:eastAsia="de-DE"/>
        </w:rPr>
        <w:lastRenderedPageBreak/>
        <w:t>economic normative foundations</w:t>
      </w:r>
      <w:r w:rsidR="00F30519" w:rsidRPr="00DE55A7">
        <w:rPr>
          <w:rFonts w:ascii="Times New Roman" w:eastAsia="Times New Roman" w:hAnsi="Times New Roman" w:cs="Times New Roman"/>
          <w:color w:val="000000"/>
          <w:sz w:val="24"/>
          <w:szCs w:val="24"/>
          <w:shd w:val="clear" w:color="auto" w:fill="FFFFFF"/>
          <w:lang w:val="en-GB" w:eastAsia="de-DE"/>
        </w:rPr>
        <w:t xml:space="preserve"> </w:t>
      </w:r>
      <w:r w:rsidR="00743743" w:rsidRPr="00DE55A7">
        <w:rPr>
          <w:rFonts w:ascii="Times New Roman" w:eastAsia="Times New Roman" w:hAnsi="Times New Roman" w:cs="Times New Roman"/>
          <w:color w:val="000000"/>
          <w:sz w:val="24"/>
          <w:szCs w:val="24"/>
          <w:shd w:val="clear" w:color="auto" w:fill="FFFFFF"/>
          <w:lang w:val="en-GB" w:eastAsia="de-DE"/>
        </w:rPr>
        <w:t>of markets and of market regulation</w:t>
      </w:r>
      <w:r w:rsidR="00E36E2D" w:rsidRPr="00DE55A7">
        <w:rPr>
          <w:rFonts w:ascii="Times New Roman" w:eastAsia="Times New Roman" w:hAnsi="Times New Roman" w:cs="Times New Roman"/>
          <w:color w:val="000000"/>
          <w:sz w:val="24"/>
          <w:szCs w:val="24"/>
          <w:shd w:val="clear" w:color="auto" w:fill="FFFFFF"/>
          <w:lang w:val="en-GB" w:eastAsia="de-DE"/>
        </w:rPr>
        <w:t xml:space="preserve">, </w:t>
      </w:r>
      <w:r w:rsidR="001F1883" w:rsidRPr="00DE55A7">
        <w:rPr>
          <w:rFonts w:ascii="Times New Roman" w:eastAsia="Times New Roman" w:hAnsi="Times New Roman" w:cs="Times New Roman"/>
          <w:color w:val="000000"/>
          <w:sz w:val="24"/>
          <w:szCs w:val="24"/>
          <w:shd w:val="clear" w:color="auto" w:fill="FFFFFF"/>
          <w:lang w:val="en-GB" w:eastAsia="de-DE"/>
        </w:rPr>
        <w:t xml:space="preserve">namely </w:t>
      </w:r>
      <w:r w:rsidR="00E36E2D" w:rsidRPr="00DE55A7">
        <w:rPr>
          <w:rFonts w:ascii="Times New Roman" w:eastAsia="Times New Roman" w:hAnsi="Times New Roman" w:cs="Times New Roman"/>
          <w:color w:val="000000"/>
          <w:sz w:val="24"/>
          <w:szCs w:val="24"/>
          <w:shd w:val="clear" w:color="auto" w:fill="FFFFFF"/>
          <w:lang w:val="en-GB" w:eastAsia="de-DE"/>
        </w:rPr>
        <w:t>a microeconomic and a macroeconomic foundation.</w:t>
      </w:r>
      <w:r w:rsidR="00743743" w:rsidRPr="00DE55A7">
        <w:rPr>
          <w:rFonts w:ascii="Times New Roman" w:eastAsia="Times New Roman" w:hAnsi="Times New Roman" w:cs="Times New Roman"/>
          <w:color w:val="000000"/>
          <w:sz w:val="24"/>
          <w:szCs w:val="24"/>
          <w:shd w:val="clear" w:color="auto" w:fill="FFFFFF"/>
          <w:lang w:val="en-GB" w:eastAsia="de-DE"/>
        </w:rPr>
        <w:t xml:space="preserve"> </w:t>
      </w:r>
      <w:r w:rsidR="00E36E2D" w:rsidRPr="00DE55A7">
        <w:rPr>
          <w:rFonts w:ascii="Times New Roman" w:eastAsia="Times New Roman" w:hAnsi="Times New Roman" w:cs="Times New Roman"/>
          <w:color w:val="000000"/>
          <w:sz w:val="24"/>
          <w:szCs w:val="24"/>
          <w:shd w:val="clear" w:color="auto" w:fill="FFFFFF"/>
          <w:lang w:val="en-GB" w:eastAsia="de-DE"/>
        </w:rPr>
        <w:t>At the macro level, the goal is growth</w:t>
      </w:r>
      <w:r w:rsidR="00A127F9" w:rsidRPr="00DE55A7">
        <w:rPr>
          <w:rFonts w:ascii="Times New Roman" w:eastAsia="Times New Roman" w:hAnsi="Times New Roman" w:cs="Times New Roman"/>
          <w:color w:val="000000"/>
          <w:sz w:val="24"/>
          <w:szCs w:val="24"/>
          <w:shd w:val="clear" w:color="auto" w:fill="FFFFFF"/>
          <w:lang w:val="en-GB" w:eastAsia="de-DE"/>
        </w:rPr>
        <w:t xml:space="preserve"> ("the size of the pie”)</w:t>
      </w:r>
      <w:r w:rsidR="00E36E2D" w:rsidRPr="00DE55A7">
        <w:rPr>
          <w:rFonts w:ascii="Times New Roman" w:eastAsia="Times New Roman" w:hAnsi="Times New Roman" w:cs="Times New Roman"/>
          <w:color w:val="000000"/>
          <w:sz w:val="24"/>
          <w:szCs w:val="24"/>
          <w:shd w:val="clear" w:color="auto" w:fill="FFFFFF"/>
          <w:lang w:val="en-GB" w:eastAsia="de-DE"/>
        </w:rPr>
        <w:t xml:space="preserve"> – and we leave aside the thorny issue of its measurement. At the micro level, the goal is identified, consistently with the tradition, with allocative efficiency – but the foundational difference is that allocative efficiency is neither about wealth maximization nor overall or societal welfare maximization. In our perspective, a market is allocatively optimal when the overall welfare of the consumers of that market is maximized</w:t>
      </w:r>
      <w:r w:rsidR="005D1383" w:rsidRPr="00DE55A7">
        <w:rPr>
          <w:rFonts w:ascii="Times New Roman" w:eastAsia="Times New Roman" w:hAnsi="Times New Roman" w:cs="Times New Roman"/>
          <w:color w:val="000000"/>
          <w:sz w:val="24"/>
          <w:szCs w:val="24"/>
          <w:shd w:val="clear" w:color="auto" w:fill="FFFFFF"/>
          <w:lang w:val="en-GB" w:eastAsia="de-DE"/>
        </w:rPr>
        <w:t xml:space="preserve"> via </w:t>
      </w:r>
      <w:r w:rsidR="003860D6" w:rsidRPr="00DE55A7">
        <w:rPr>
          <w:rFonts w:ascii="Times New Roman" w:eastAsia="Times New Roman" w:hAnsi="Times New Roman" w:cs="Times New Roman"/>
          <w:color w:val="000000"/>
          <w:sz w:val="24"/>
          <w:szCs w:val="24"/>
          <w:shd w:val="clear" w:color="auto" w:fill="FFFFFF"/>
          <w:lang w:val="en-GB" w:eastAsia="de-DE"/>
        </w:rPr>
        <w:t xml:space="preserve">mutual </w:t>
      </w:r>
      <w:r w:rsidR="005D1383" w:rsidRPr="00DE55A7">
        <w:rPr>
          <w:rFonts w:ascii="Times New Roman" w:eastAsia="Times New Roman" w:hAnsi="Times New Roman" w:cs="Times New Roman"/>
          <w:color w:val="000000"/>
          <w:sz w:val="24"/>
          <w:szCs w:val="24"/>
          <w:shd w:val="clear" w:color="auto" w:fill="FFFFFF"/>
          <w:lang w:val="en-GB" w:eastAsia="de-DE"/>
        </w:rPr>
        <w:t>Pareto optimal transactions</w:t>
      </w:r>
      <w:r w:rsidR="003860D6" w:rsidRPr="00DE55A7">
        <w:rPr>
          <w:rFonts w:ascii="Times New Roman" w:eastAsia="Times New Roman" w:hAnsi="Times New Roman" w:cs="Times New Roman"/>
          <w:color w:val="000000"/>
          <w:sz w:val="24"/>
          <w:szCs w:val="24"/>
          <w:shd w:val="clear" w:color="auto" w:fill="FFFFFF"/>
          <w:lang w:val="en-GB" w:eastAsia="de-DE"/>
        </w:rPr>
        <w:t xml:space="preserve">. Allocative efficiency is then a constrained optimization exercise where the constraints are consumers’ budget and a mutual Pareto optimality condition; </w:t>
      </w:r>
      <w:r w:rsidR="002E743D" w:rsidRPr="00DE55A7">
        <w:rPr>
          <w:rFonts w:ascii="Times New Roman" w:eastAsia="Times New Roman" w:hAnsi="Times New Roman" w:cs="Times New Roman"/>
          <w:color w:val="000000"/>
          <w:sz w:val="24"/>
          <w:szCs w:val="24"/>
          <w:shd w:val="clear" w:color="auto" w:fill="FFFFFF"/>
          <w:lang w:val="en-GB" w:eastAsia="de-DE"/>
        </w:rPr>
        <w:t xml:space="preserve">a </w:t>
      </w:r>
      <w:r w:rsidR="00E36E2D" w:rsidRPr="00DE55A7">
        <w:rPr>
          <w:rFonts w:ascii="Times New Roman" w:eastAsia="Times New Roman" w:hAnsi="Times New Roman" w:cs="Times New Roman"/>
          <w:color w:val="000000"/>
          <w:sz w:val="24"/>
          <w:szCs w:val="24"/>
          <w:shd w:val="clear" w:color="auto" w:fill="FFFFFF"/>
          <w:lang w:val="en-GB" w:eastAsia="de-DE"/>
        </w:rPr>
        <w:t>market allocation M</w:t>
      </w:r>
      <w:r w:rsidR="004726B6" w:rsidRPr="00DA09BA">
        <w:rPr>
          <w:rFonts w:ascii="Times New Roman" w:eastAsia="Times New Roman" w:hAnsi="Times New Roman" w:cs="Times New Roman"/>
          <w:color w:val="000000"/>
          <w:sz w:val="24"/>
          <w:szCs w:val="24"/>
          <w:shd w:val="clear" w:color="auto" w:fill="FFFFFF"/>
          <w:vertAlign w:val="subscript"/>
          <w:lang w:val="en-GB" w:eastAsia="de-DE"/>
        </w:rPr>
        <w:t>a’</w:t>
      </w:r>
      <w:r w:rsidR="00E36E2D" w:rsidRPr="00DE55A7">
        <w:rPr>
          <w:rFonts w:ascii="Times New Roman" w:eastAsia="Times New Roman" w:hAnsi="Times New Roman" w:cs="Times New Roman"/>
          <w:color w:val="000000"/>
          <w:sz w:val="24"/>
          <w:szCs w:val="24"/>
          <w:shd w:val="clear" w:color="auto" w:fill="FFFFFF"/>
          <w:lang w:val="en-GB" w:eastAsia="de-DE"/>
        </w:rPr>
        <w:t xml:space="preserve"> is </w:t>
      </w:r>
      <w:r w:rsidR="003860D6" w:rsidRPr="00DE55A7">
        <w:rPr>
          <w:rFonts w:ascii="Times New Roman" w:eastAsia="Times New Roman" w:hAnsi="Times New Roman" w:cs="Times New Roman"/>
          <w:color w:val="000000"/>
          <w:sz w:val="24"/>
          <w:szCs w:val="24"/>
          <w:shd w:val="clear" w:color="auto" w:fill="FFFFFF"/>
          <w:lang w:val="en-GB" w:eastAsia="de-DE"/>
        </w:rPr>
        <w:t>th</w:t>
      </w:r>
      <w:r w:rsidR="001F1883" w:rsidRPr="00DE55A7">
        <w:rPr>
          <w:rFonts w:ascii="Times New Roman" w:eastAsia="Times New Roman" w:hAnsi="Times New Roman" w:cs="Times New Roman"/>
          <w:color w:val="000000"/>
          <w:sz w:val="24"/>
          <w:szCs w:val="24"/>
          <w:shd w:val="clear" w:color="auto" w:fill="FFFFFF"/>
          <w:lang w:val="en-GB" w:eastAsia="de-DE"/>
        </w:rPr>
        <w:t>us</w:t>
      </w:r>
      <w:r w:rsidR="003860D6" w:rsidRPr="00DE55A7">
        <w:rPr>
          <w:rFonts w:ascii="Times New Roman" w:eastAsia="Times New Roman" w:hAnsi="Times New Roman" w:cs="Times New Roman"/>
          <w:color w:val="000000"/>
          <w:sz w:val="24"/>
          <w:szCs w:val="24"/>
          <w:shd w:val="clear" w:color="auto" w:fill="FFFFFF"/>
          <w:lang w:val="en-GB" w:eastAsia="de-DE"/>
        </w:rPr>
        <w:t xml:space="preserve"> </w:t>
      </w:r>
      <w:r w:rsidR="00E36E2D" w:rsidRPr="00DE55A7">
        <w:rPr>
          <w:rFonts w:ascii="Times New Roman" w:eastAsia="Times New Roman" w:hAnsi="Times New Roman" w:cs="Times New Roman"/>
          <w:color w:val="000000"/>
          <w:sz w:val="24"/>
          <w:szCs w:val="24"/>
          <w:shd w:val="clear" w:color="auto" w:fill="FFFFFF"/>
          <w:lang w:val="en-GB" w:eastAsia="de-DE"/>
        </w:rPr>
        <w:t>allocatively more efficient than market allocation M</w:t>
      </w:r>
      <w:r w:rsidR="004726B6" w:rsidRPr="00DE55A7">
        <w:rPr>
          <w:rFonts w:ascii="Times New Roman" w:eastAsia="Times New Roman" w:hAnsi="Times New Roman" w:cs="Times New Roman"/>
          <w:color w:val="000000"/>
          <w:sz w:val="24"/>
          <w:szCs w:val="24"/>
          <w:shd w:val="clear" w:color="auto" w:fill="FFFFFF"/>
          <w:vertAlign w:val="subscript"/>
          <w:lang w:val="en-GB" w:eastAsia="de-DE"/>
        </w:rPr>
        <w:t>a</w:t>
      </w:r>
      <w:r w:rsidR="00E36E2D" w:rsidRPr="00DE55A7">
        <w:rPr>
          <w:rFonts w:ascii="Times New Roman" w:eastAsia="Times New Roman" w:hAnsi="Times New Roman" w:cs="Times New Roman"/>
          <w:color w:val="000000"/>
          <w:sz w:val="24"/>
          <w:szCs w:val="24"/>
          <w:shd w:val="clear" w:color="auto" w:fill="FFFFFF"/>
          <w:lang w:val="en-GB" w:eastAsia="de-DE"/>
        </w:rPr>
        <w:t xml:space="preserve"> iff the aggregate consumer welfare in M</w:t>
      </w:r>
      <w:r w:rsidR="004726B6" w:rsidRPr="00DE55A7">
        <w:rPr>
          <w:rFonts w:ascii="Times New Roman" w:eastAsia="Times New Roman" w:hAnsi="Times New Roman" w:cs="Times New Roman"/>
          <w:color w:val="000000"/>
          <w:sz w:val="24"/>
          <w:szCs w:val="24"/>
          <w:shd w:val="clear" w:color="auto" w:fill="FFFFFF"/>
          <w:vertAlign w:val="subscript"/>
          <w:lang w:val="en-GB" w:eastAsia="de-DE"/>
        </w:rPr>
        <w:t>a’</w:t>
      </w:r>
      <w:r w:rsidR="00E36E2D" w:rsidRPr="00DE55A7">
        <w:rPr>
          <w:rFonts w:ascii="Times New Roman" w:eastAsia="Times New Roman" w:hAnsi="Times New Roman" w:cs="Times New Roman"/>
          <w:color w:val="000000"/>
          <w:sz w:val="24"/>
          <w:szCs w:val="24"/>
          <w:shd w:val="clear" w:color="auto" w:fill="FFFFFF"/>
          <w:lang w:val="en-GB" w:eastAsia="de-DE"/>
        </w:rPr>
        <w:t xml:space="preserve"> i</w:t>
      </w:r>
      <w:r w:rsidR="001F1883" w:rsidRPr="00DE55A7">
        <w:rPr>
          <w:rFonts w:ascii="Times New Roman" w:eastAsia="Times New Roman" w:hAnsi="Times New Roman" w:cs="Times New Roman"/>
          <w:color w:val="000000"/>
          <w:sz w:val="24"/>
          <w:szCs w:val="24"/>
          <w:shd w:val="clear" w:color="auto" w:fill="FFFFFF"/>
          <w:lang w:val="en-GB" w:eastAsia="de-DE"/>
        </w:rPr>
        <w:t>s</w:t>
      </w:r>
      <w:r w:rsidR="00E36E2D" w:rsidRPr="00DE55A7">
        <w:rPr>
          <w:rFonts w:ascii="Times New Roman" w:eastAsia="Times New Roman" w:hAnsi="Times New Roman" w:cs="Times New Roman"/>
          <w:color w:val="000000"/>
          <w:sz w:val="24"/>
          <w:szCs w:val="24"/>
          <w:shd w:val="clear" w:color="auto" w:fill="FFFFFF"/>
          <w:lang w:val="en-GB" w:eastAsia="de-DE"/>
        </w:rPr>
        <w:t xml:space="preserve"> superior to the aggregate consumer welfare in M</w:t>
      </w:r>
      <w:r w:rsidR="004726B6" w:rsidRPr="00DE55A7">
        <w:rPr>
          <w:rFonts w:ascii="Times New Roman" w:eastAsia="Times New Roman" w:hAnsi="Times New Roman" w:cs="Times New Roman"/>
          <w:color w:val="000000"/>
          <w:sz w:val="24"/>
          <w:szCs w:val="24"/>
          <w:shd w:val="clear" w:color="auto" w:fill="FFFFFF"/>
          <w:vertAlign w:val="subscript"/>
          <w:lang w:val="en-GB" w:eastAsia="de-DE"/>
        </w:rPr>
        <w:t>a</w:t>
      </w:r>
      <w:r w:rsidR="005D1383" w:rsidRPr="00DE55A7">
        <w:rPr>
          <w:rFonts w:ascii="Times New Roman" w:eastAsia="Times New Roman" w:hAnsi="Times New Roman" w:cs="Times New Roman"/>
          <w:color w:val="000000"/>
          <w:sz w:val="24"/>
          <w:szCs w:val="24"/>
          <w:shd w:val="clear" w:color="auto" w:fill="FFFFFF"/>
          <w:lang w:val="en-GB" w:eastAsia="de-DE"/>
        </w:rPr>
        <w:t xml:space="preserve"> and the Paretian constraint is respected</w:t>
      </w:r>
      <w:r w:rsidR="00743743" w:rsidRPr="00DE55A7">
        <w:rPr>
          <w:rFonts w:ascii="Times New Roman" w:eastAsia="Times New Roman" w:hAnsi="Times New Roman" w:cs="Times New Roman"/>
          <w:color w:val="000000"/>
          <w:sz w:val="24"/>
          <w:szCs w:val="24"/>
          <w:shd w:val="clear" w:color="auto" w:fill="FFFFFF"/>
          <w:lang w:val="en-GB" w:eastAsia="de-DE"/>
        </w:rPr>
        <w:t>.</w:t>
      </w:r>
      <w:r w:rsidR="00E36E2D" w:rsidRPr="00DE55A7">
        <w:rPr>
          <w:rFonts w:ascii="Times New Roman" w:eastAsia="Times New Roman" w:hAnsi="Times New Roman" w:cs="Times New Roman"/>
          <w:color w:val="000000"/>
          <w:sz w:val="24"/>
          <w:szCs w:val="24"/>
          <w:shd w:val="clear" w:color="auto" w:fill="FFFFFF"/>
          <w:lang w:val="en-GB" w:eastAsia="de-DE"/>
        </w:rPr>
        <w:t xml:space="preserve"> </w:t>
      </w:r>
      <w:r w:rsidR="002E743D" w:rsidRPr="00DE55A7">
        <w:rPr>
          <w:rFonts w:ascii="Times New Roman" w:eastAsia="Times New Roman" w:hAnsi="Times New Roman" w:cs="Times New Roman"/>
          <w:color w:val="000000"/>
          <w:sz w:val="24"/>
          <w:szCs w:val="24"/>
          <w:shd w:val="clear" w:color="auto" w:fill="FFFFFF"/>
          <w:lang w:val="en-GB" w:eastAsia="de-DE"/>
        </w:rPr>
        <w:t>Notably</w:t>
      </w:r>
      <w:r w:rsidR="00E36E2D" w:rsidRPr="00DE55A7">
        <w:rPr>
          <w:rFonts w:ascii="Times New Roman" w:eastAsia="Times New Roman" w:hAnsi="Times New Roman" w:cs="Times New Roman"/>
          <w:color w:val="000000"/>
          <w:sz w:val="24"/>
          <w:szCs w:val="24"/>
          <w:shd w:val="clear" w:color="auto" w:fill="FFFFFF"/>
          <w:lang w:val="en-GB" w:eastAsia="de-DE"/>
        </w:rPr>
        <w:t xml:space="preserve">, we do not </w:t>
      </w:r>
      <w:r w:rsidR="002E743D" w:rsidRPr="00DE55A7">
        <w:rPr>
          <w:rFonts w:ascii="Times New Roman" w:eastAsia="Times New Roman" w:hAnsi="Times New Roman" w:cs="Times New Roman"/>
          <w:color w:val="000000"/>
          <w:sz w:val="24"/>
          <w:szCs w:val="24"/>
          <w:shd w:val="clear" w:color="auto" w:fill="FFFFFF"/>
          <w:lang w:val="en-GB" w:eastAsia="de-DE"/>
        </w:rPr>
        <w:t>claim</w:t>
      </w:r>
      <w:r w:rsidR="00E36E2D" w:rsidRPr="00DE55A7">
        <w:rPr>
          <w:rFonts w:ascii="Times New Roman" w:eastAsia="Times New Roman" w:hAnsi="Times New Roman" w:cs="Times New Roman"/>
          <w:color w:val="000000"/>
          <w:sz w:val="24"/>
          <w:szCs w:val="24"/>
          <w:shd w:val="clear" w:color="auto" w:fill="FFFFFF"/>
          <w:lang w:val="en-GB" w:eastAsia="de-DE"/>
        </w:rPr>
        <w:t xml:space="preserve"> that this two-pillars foundation is exhaustive</w:t>
      </w:r>
      <w:r w:rsidR="002E743D" w:rsidRPr="00DE55A7">
        <w:rPr>
          <w:rFonts w:ascii="Times New Roman" w:eastAsia="Times New Roman" w:hAnsi="Times New Roman" w:cs="Times New Roman"/>
          <w:color w:val="000000"/>
          <w:sz w:val="24"/>
          <w:szCs w:val="24"/>
          <w:shd w:val="clear" w:color="auto" w:fill="FFFFFF"/>
          <w:lang w:val="en-GB" w:eastAsia="de-DE"/>
        </w:rPr>
        <w:t xml:space="preserve"> of societal goals</w:t>
      </w:r>
      <w:r w:rsidR="008F66A9" w:rsidRPr="00DE55A7">
        <w:rPr>
          <w:rFonts w:ascii="Times New Roman" w:eastAsia="Times New Roman" w:hAnsi="Times New Roman" w:cs="Times New Roman"/>
          <w:color w:val="000000"/>
          <w:sz w:val="24"/>
          <w:szCs w:val="24"/>
          <w:shd w:val="clear" w:color="auto" w:fill="FFFFFF"/>
          <w:lang w:val="en-GB" w:eastAsia="de-DE"/>
        </w:rPr>
        <w:t xml:space="preserve"> (see</w:t>
      </w:r>
      <w:r w:rsidR="00E36E2D" w:rsidRPr="00DE55A7">
        <w:rPr>
          <w:rFonts w:ascii="Times New Roman" w:eastAsia="Times New Roman" w:hAnsi="Times New Roman" w:cs="Times New Roman"/>
          <w:color w:val="000000"/>
          <w:sz w:val="24"/>
          <w:szCs w:val="24"/>
          <w:shd w:val="clear" w:color="auto" w:fill="FFFFFF"/>
          <w:lang w:val="en-GB" w:eastAsia="de-DE"/>
        </w:rPr>
        <w:t xml:space="preserve"> </w:t>
      </w:r>
      <w:r w:rsidR="008F66A9" w:rsidRPr="00DE55A7">
        <w:rPr>
          <w:rFonts w:ascii="Times New Roman" w:eastAsia="Times New Roman" w:hAnsi="Times New Roman" w:cs="Times New Roman"/>
          <w:color w:val="000000"/>
          <w:sz w:val="24"/>
          <w:szCs w:val="24"/>
          <w:shd w:val="clear" w:color="auto" w:fill="FFFFFF"/>
          <w:lang w:val="en-GB" w:eastAsia="de-DE"/>
        </w:rPr>
        <w:t>below s</w:t>
      </w:r>
      <w:r w:rsidR="00E36E2D" w:rsidRPr="00DA09BA">
        <w:rPr>
          <w:rFonts w:ascii="Times New Roman" w:eastAsia="Times New Roman" w:hAnsi="Times New Roman" w:cs="Times New Roman"/>
          <w:color w:val="000000"/>
          <w:sz w:val="24"/>
          <w:szCs w:val="24"/>
          <w:shd w:val="clear" w:color="auto" w:fill="FFFFFF"/>
          <w:lang w:val="en-GB" w:eastAsia="de-DE"/>
        </w:rPr>
        <w:t xml:space="preserve">ection </w:t>
      </w:r>
      <w:r w:rsidR="008F66A9" w:rsidRPr="00DE55A7">
        <w:rPr>
          <w:rFonts w:ascii="Times New Roman" w:eastAsia="Times New Roman" w:hAnsi="Times New Roman" w:cs="Times New Roman"/>
          <w:color w:val="000000"/>
          <w:sz w:val="24"/>
          <w:szCs w:val="24"/>
          <w:shd w:val="clear" w:color="auto" w:fill="FFFFFF"/>
          <w:lang w:val="en-GB" w:eastAsia="de-DE"/>
        </w:rPr>
        <w:t>II.</w:t>
      </w:r>
      <w:r w:rsidR="00BE7CF2">
        <w:rPr>
          <w:rFonts w:ascii="Times New Roman" w:eastAsia="Times New Roman" w:hAnsi="Times New Roman" w:cs="Times New Roman"/>
          <w:color w:val="000000"/>
          <w:sz w:val="24"/>
          <w:szCs w:val="24"/>
          <w:shd w:val="clear" w:color="auto" w:fill="FFFFFF"/>
          <w:lang w:val="en-GB" w:eastAsia="de-DE"/>
        </w:rPr>
        <w:t xml:space="preserve"> </w:t>
      </w:r>
      <w:r w:rsidR="00E36E2D" w:rsidRPr="00DA09BA">
        <w:rPr>
          <w:rFonts w:ascii="Times New Roman" w:eastAsia="Times New Roman" w:hAnsi="Times New Roman" w:cs="Times New Roman"/>
          <w:color w:val="000000"/>
          <w:sz w:val="24"/>
          <w:szCs w:val="24"/>
          <w:shd w:val="clear" w:color="auto" w:fill="FFFFFF"/>
          <w:lang w:val="en-GB" w:eastAsia="de-DE"/>
        </w:rPr>
        <w:t xml:space="preserve">2, point </w:t>
      </w:r>
      <w:r w:rsidR="005D1383" w:rsidRPr="00DE55A7">
        <w:rPr>
          <w:rFonts w:ascii="Times New Roman" w:eastAsia="Times New Roman" w:hAnsi="Times New Roman" w:cs="Times New Roman"/>
          <w:color w:val="000000"/>
          <w:sz w:val="24"/>
          <w:szCs w:val="24"/>
          <w:shd w:val="clear" w:color="auto" w:fill="FFFFFF"/>
          <w:lang w:val="en-GB" w:eastAsia="de-DE"/>
        </w:rPr>
        <w:t>d</w:t>
      </w:r>
      <w:r w:rsidR="00E36E2D" w:rsidRPr="00DA09BA">
        <w:rPr>
          <w:rFonts w:ascii="Times New Roman" w:eastAsia="Times New Roman" w:hAnsi="Times New Roman" w:cs="Times New Roman"/>
          <w:color w:val="000000"/>
          <w:sz w:val="24"/>
          <w:szCs w:val="24"/>
          <w:shd w:val="clear" w:color="auto" w:fill="FFFFFF"/>
          <w:lang w:val="en-GB" w:eastAsia="de-DE"/>
        </w:rPr>
        <w:t>)</w:t>
      </w:r>
      <w:r w:rsidR="00E36E2D" w:rsidRPr="00DE55A7">
        <w:rPr>
          <w:rFonts w:ascii="Times New Roman" w:eastAsia="Times New Roman" w:hAnsi="Times New Roman" w:cs="Times New Roman"/>
          <w:color w:val="000000"/>
          <w:sz w:val="24"/>
          <w:szCs w:val="24"/>
          <w:shd w:val="clear" w:color="auto" w:fill="FFFFFF"/>
          <w:lang w:val="en-GB" w:eastAsia="de-DE"/>
        </w:rPr>
        <w:t xml:space="preserve">). </w:t>
      </w:r>
      <w:r w:rsidR="003860D6" w:rsidRPr="00DE55A7">
        <w:rPr>
          <w:rFonts w:ascii="Times New Roman" w:eastAsia="Times New Roman" w:hAnsi="Times New Roman" w:cs="Times New Roman"/>
          <w:color w:val="000000"/>
          <w:sz w:val="24"/>
          <w:szCs w:val="24"/>
          <w:shd w:val="clear" w:color="auto" w:fill="FFFFFF"/>
          <w:lang w:val="en-GB" w:eastAsia="de-DE"/>
        </w:rPr>
        <w:t>From a different perspective</w:t>
      </w:r>
      <w:r w:rsidR="00470836" w:rsidRPr="00DE55A7">
        <w:rPr>
          <w:rFonts w:ascii="Times New Roman" w:eastAsia="Times New Roman" w:hAnsi="Times New Roman" w:cs="Times New Roman"/>
          <w:color w:val="000000"/>
          <w:sz w:val="24"/>
          <w:szCs w:val="24"/>
          <w:shd w:val="clear" w:color="auto" w:fill="FFFFFF"/>
          <w:lang w:val="en-GB" w:eastAsia="de-DE"/>
        </w:rPr>
        <w:t>, it is pivotal to our understanding of allocative efficiency to conceive of the consumer/investor-entrepreneur</w:t>
      </w:r>
      <w:r w:rsidR="003860D6" w:rsidRPr="00DE55A7">
        <w:rPr>
          <w:rFonts w:ascii="Times New Roman" w:eastAsia="Times New Roman" w:hAnsi="Times New Roman" w:cs="Times New Roman"/>
          <w:color w:val="000000"/>
          <w:sz w:val="24"/>
          <w:szCs w:val="24"/>
          <w:shd w:val="clear" w:color="auto" w:fill="FFFFFF"/>
          <w:lang w:val="en-GB" w:eastAsia="de-DE"/>
        </w:rPr>
        <w:t>/manager</w:t>
      </w:r>
      <w:r w:rsidR="00470836" w:rsidRPr="00DE55A7">
        <w:rPr>
          <w:rFonts w:ascii="Times New Roman" w:eastAsia="Times New Roman" w:hAnsi="Times New Roman" w:cs="Times New Roman"/>
          <w:color w:val="000000"/>
          <w:sz w:val="24"/>
          <w:szCs w:val="24"/>
          <w:shd w:val="clear" w:color="auto" w:fill="FFFFFF"/>
          <w:lang w:val="en-GB" w:eastAsia="de-DE"/>
        </w:rPr>
        <w:t xml:space="preserve"> relation in terms of a principal-agent relation</w:t>
      </w:r>
      <w:r w:rsidR="008F66A9" w:rsidRPr="00DE55A7">
        <w:rPr>
          <w:rFonts w:ascii="Times New Roman" w:eastAsia="Times New Roman" w:hAnsi="Times New Roman" w:cs="Times New Roman"/>
          <w:color w:val="000000"/>
          <w:sz w:val="24"/>
          <w:szCs w:val="24"/>
          <w:shd w:val="clear" w:color="auto" w:fill="FFFFFF"/>
          <w:lang w:val="en-GB" w:eastAsia="de-DE"/>
        </w:rPr>
        <w:t xml:space="preserve"> (see below section III.)</w:t>
      </w:r>
      <w:r w:rsidR="00470836" w:rsidRPr="00DE55A7">
        <w:rPr>
          <w:rFonts w:ascii="Times New Roman" w:eastAsia="Times New Roman" w:hAnsi="Times New Roman" w:cs="Times New Roman"/>
          <w:color w:val="000000"/>
          <w:sz w:val="24"/>
          <w:szCs w:val="24"/>
          <w:shd w:val="clear" w:color="auto" w:fill="FFFFFF"/>
          <w:lang w:val="en-GB" w:eastAsia="de-DE"/>
        </w:rPr>
        <w:t>.</w:t>
      </w:r>
      <w:r w:rsidR="00470836" w:rsidRPr="00497A81">
        <w:rPr>
          <w:rFonts w:ascii="Times New Roman" w:eastAsia="Times New Roman" w:hAnsi="Times New Roman" w:cs="Times New Roman"/>
          <w:color w:val="000000"/>
          <w:sz w:val="24"/>
          <w:szCs w:val="24"/>
          <w:shd w:val="clear" w:color="auto" w:fill="FFFFFF"/>
          <w:lang w:val="en-GB" w:eastAsia="de-DE"/>
        </w:rPr>
        <w:t xml:space="preserve"> </w:t>
      </w:r>
    </w:p>
    <w:p w14:paraId="75DB6116" w14:textId="7CEC5AEE" w:rsidR="00E36E2D" w:rsidRPr="00497A81" w:rsidRDefault="00470836" w:rsidP="00743743">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Accepting this theoretical reconstruction of the market rationale would quite fundamentally modify and change the analytical framework of any legal inquiry using economic theory.</w:t>
      </w:r>
      <w:r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9"/>
      </w:r>
      <w:r w:rsidRPr="00497A81">
        <w:rPr>
          <w:rFonts w:ascii="Times New Roman" w:eastAsia="Times New Roman" w:hAnsi="Times New Roman" w:cs="Times New Roman"/>
          <w:color w:val="000000"/>
          <w:sz w:val="24"/>
          <w:szCs w:val="24"/>
          <w:shd w:val="clear" w:color="auto" w:fill="FFFFFF"/>
          <w:lang w:val="en-GB" w:eastAsia="de-DE"/>
        </w:rPr>
        <w:t xml:space="preserve"> It would not only fundamentally change the analytical framework in the economic analysis, it would bring the analytical framework of economic theory also much closer to the dominant paradigm in actual EU legislation. Here, the dominant view would indeed be that the regulation of private autonomy is primarily justified by a concern for the unfair consequences of flatly enforcing contracts between formally equally, but substantially unequal parties.</w:t>
      </w:r>
      <w:r w:rsidR="001F1883">
        <w:rPr>
          <w:rStyle w:val="Rimandonotaapidipagina"/>
          <w:rFonts w:ascii="Times New Roman" w:eastAsia="Times New Roman" w:hAnsi="Times New Roman" w:cs="Times New Roman"/>
          <w:color w:val="000000"/>
          <w:sz w:val="24"/>
          <w:szCs w:val="24"/>
          <w:shd w:val="clear" w:color="auto" w:fill="FFFFFF"/>
          <w:lang w:val="en-GB" w:eastAsia="de-DE"/>
        </w:rPr>
        <w:footnoteReference w:id="10"/>
      </w:r>
      <w:r w:rsidRPr="00497A81">
        <w:rPr>
          <w:rFonts w:ascii="Times New Roman" w:eastAsia="Times New Roman" w:hAnsi="Times New Roman" w:cs="Times New Roman"/>
          <w:color w:val="000000"/>
          <w:sz w:val="24"/>
          <w:szCs w:val="24"/>
          <w:shd w:val="clear" w:color="auto" w:fill="FFFFFF"/>
          <w:lang w:val="en-GB" w:eastAsia="de-DE"/>
        </w:rPr>
        <w:t xml:space="preserve"> </w:t>
      </w:r>
      <w:r w:rsidR="001F1883">
        <w:rPr>
          <w:rFonts w:ascii="Times New Roman" w:eastAsia="Times New Roman" w:hAnsi="Times New Roman" w:cs="Times New Roman"/>
          <w:color w:val="000000"/>
          <w:sz w:val="24"/>
          <w:szCs w:val="24"/>
          <w:shd w:val="clear" w:color="auto" w:fill="FFFFFF"/>
          <w:lang w:val="en-GB" w:eastAsia="de-DE"/>
        </w:rPr>
        <w:t>Thus, unfair terms are unenforceable because they are one-side, and not because them being one-sided implies that they reduce overall welfare.</w:t>
      </w:r>
      <w:r w:rsidR="001F1883">
        <w:rPr>
          <w:rStyle w:val="Rimandonotaapidipagina"/>
          <w:rFonts w:ascii="Times New Roman" w:eastAsia="Times New Roman" w:hAnsi="Times New Roman" w:cs="Times New Roman"/>
          <w:color w:val="000000"/>
          <w:sz w:val="24"/>
          <w:szCs w:val="24"/>
          <w:shd w:val="clear" w:color="auto" w:fill="FFFFFF"/>
          <w:lang w:val="en-GB" w:eastAsia="de-DE"/>
        </w:rPr>
        <w:footnoteReference w:id="11"/>
      </w:r>
      <w:r w:rsidR="001F1883">
        <w:rPr>
          <w:rFonts w:ascii="Times New Roman" w:eastAsia="Times New Roman" w:hAnsi="Times New Roman" w:cs="Times New Roman"/>
          <w:color w:val="000000"/>
          <w:sz w:val="24"/>
          <w:szCs w:val="24"/>
          <w:shd w:val="clear" w:color="auto" w:fill="FFFFFF"/>
          <w:lang w:val="en-GB" w:eastAsia="de-DE"/>
        </w:rPr>
        <w:t xml:space="preserve"> </w:t>
      </w:r>
      <w:r w:rsidR="00891FE8" w:rsidRPr="00497A81">
        <w:rPr>
          <w:rFonts w:ascii="Times New Roman" w:eastAsia="Times New Roman" w:hAnsi="Times New Roman" w:cs="Times New Roman"/>
          <w:color w:val="000000"/>
          <w:sz w:val="24"/>
          <w:szCs w:val="24"/>
          <w:shd w:val="clear" w:color="auto" w:fill="FFFFFF"/>
          <w:lang w:val="en-GB" w:eastAsia="de-DE"/>
        </w:rPr>
        <w:t xml:space="preserve">An immediate consequence </w:t>
      </w:r>
      <w:r w:rsidR="003860D6">
        <w:rPr>
          <w:rFonts w:ascii="Times New Roman" w:eastAsia="Times New Roman" w:hAnsi="Times New Roman" w:cs="Times New Roman"/>
          <w:color w:val="000000"/>
          <w:sz w:val="24"/>
          <w:szCs w:val="24"/>
          <w:shd w:val="clear" w:color="auto" w:fill="FFFFFF"/>
          <w:lang w:val="en-GB" w:eastAsia="de-DE"/>
        </w:rPr>
        <w:t xml:space="preserve">of this understanding of allocative efficiency </w:t>
      </w:r>
      <w:r w:rsidR="00891FE8" w:rsidRPr="00497A81">
        <w:rPr>
          <w:rFonts w:ascii="Times New Roman" w:eastAsia="Times New Roman" w:hAnsi="Times New Roman" w:cs="Times New Roman"/>
          <w:color w:val="000000"/>
          <w:sz w:val="24"/>
          <w:szCs w:val="24"/>
          <w:shd w:val="clear" w:color="auto" w:fill="FFFFFF"/>
          <w:lang w:val="en-GB" w:eastAsia="de-DE"/>
        </w:rPr>
        <w:t xml:space="preserve">is offering a standpoint for clarifying the interplay between the Single Market and consumer policy. Contrary to a view often held by EU lawyers, </w:t>
      </w:r>
      <w:r w:rsidR="003860D6">
        <w:rPr>
          <w:rFonts w:ascii="Times New Roman" w:eastAsia="Times New Roman" w:hAnsi="Times New Roman" w:cs="Times New Roman"/>
          <w:color w:val="000000"/>
          <w:sz w:val="24"/>
          <w:szCs w:val="24"/>
          <w:shd w:val="clear" w:color="auto" w:fill="FFFFFF"/>
          <w:lang w:val="en-GB" w:eastAsia="de-DE"/>
        </w:rPr>
        <w:t xml:space="preserve">the </w:t>
      </w:r>
      <w:r w:rsidR="00891FE8" w:rsidRPr="00497A81">
        <w:rPr>
          <w:rFonts w:ascii="Times New Roman" w:eastAsia="Times New Roman" w:hAnsi="Times New Roman" w:cs="Times New Roman"/>
          <w:color w:val="000000"/>
          <w:sz w:val="24"/>
          <w:szCs w:val="24"/>
          <w:shd w:val="clear" w:color="auto" w:fill="FFFFFF"/>
          <w:lang w:val="en-GB" w:eastAsia="de-DE"/>
        </w:rPr>
        <w:t xml:space="preserve">consumer </w:t>
      </w:r>
      <w:r w:rsidR="003860D6">
        <w:rPr>
          <w:rFonts w:ascii="Times New Roman" w:eastAsia="Times New Roman" w:hAnsi="Times New Roman" w:cs="Times New Roman"/>
          <w:color w:val="000000"/>
          <w:sz w:val="24"/>
          <w:szCs w:val="24"/>
          <w:shd w:val="clear" w:color="auto" w:fill="FFFFFF"/>
          <w:lang w:val="en-GB" w:eastAsia="de-DE"/>
        </w:rPr>
        <w:t>interest</w:t>
      </w:r>
      <w:r w:rsidR="00891FE8" w:rsidRPr="00497A81">
        <w:rPr>
          <w:rFonts w:ascii="Times New Roman" w:eastAsia="Times New Roman" w:hAnsi="Times New Roman" w:cs="Times New Roman"/>
          <w:color w:val="000000"/>
          <w:sz w:val="24"/>
          <w:szCs w:val="24"/>
          <w:shd w:val="clear" w:color="auto" w:fill="FFFFFF"/>
          <w:lang w:val="en-GB" w:eastAsia="de-DE"/>
        </w:rPr>
        <w:t xml:space="preserve"> is not cunningly instrumentalized (or even distorted) </w:t>
      </w:r>
      <w:r w:rsidR="003860D6">
        <w:rPr>
          <w:rFonts w:ascii="Times New Roman" w:eastAsia="Times New Roman" w:hAnsi="Times New Roman" w:cs="Times New Roman"/>
          <w:color w:val="000000"/>
          <w:sz w:val="24"/>
          <w:szCs w:val="24"/>
          <w:shd w:val="clear" w:color="auto" w:fill="FFFFFF"/>
          <w:lang w:val="en-GB" w:eastAsia="de-DE"/>
        </w:rPr>
        <w:t xml:space="preserve">by EU institutions </w:t>
      </w:r>
      <w:r w:rsidR="00891FE8" w:rsidRPr="00497A81">
        <w:rPr>
          <w:rFonts w:ascii="Times New Roman" w:eastAsia="Times New Roman" w:hAnsi="Times New Roman" w:cs="Times New Roman"/>
          <w:color w:val="000000"/>
          <w:sz w:val="24"/>
          <w:szCs w:val="24"/>
          <w:shd w:val="clear" w:color="auto" w:fill="FFFFFF"/>
          <w:lang w:val="en-GB" w:eastAsia="de-DE"/>
        </w:rPr>
        <w:t xml:space="preserve">in order to foster the Single Market. </w:t>
      </w:r>
      <w:r w:rsidR="003860D6">
        <w:rPr>
          <w:rFonts w:ascii="Times New Roman" w:eastAsia="Times New Roman" w:hAnsi="Times New Roman" w:cs="Times New Roman"/>
          <w:color w:val="000000"/>
          <w:sz w:val="24"/>
          <w:szCs w:val="24"/>
          <w:shd w:val="clear" w:color="auto" w:fill="FFFFFF"/>
          <w:lang w:val="en-GB" w:eastAsia="de-DE"/>
        </w:rPr>
        <w:t>A market working for consumers</w:t>
      </w:r>
      <w:r w:rsidR="00891FE8" w:rsidRPr="00497A81">
        <w:rPr>
          <w:rFonts w:ascii="Times New Roman" w:eastAsia="Times New Roman" w:hAnsi="Times New Roman" w:cs="Times New Roman"/>
          <w:color w:val="000000"/>
          <w:sz w:val="24"/>
          <w:szCs w:val="24"/>
          <w:shd w:val="clear" w:color="auto" w:fill="FFFFFF"/>
          <w:lang w:val="en-GB" w:eastAsia="de-DE"/>
        </w:rPr>
        <w:t xml:space="preserve"> is actually, together with growth, the main justification of this project. </w:t>
      </w:r>
      <w:r w:rsidR="006A4EFC">
        <w:rPr>
          <w:rFonts w:ascii="Times New Roman" w:eastAsia="Times New Roman" w:hAnsi="Times New Roman" w:cs="Times New Roman"/>
          <w:color w:val="000000"/>
          <w:sz w:val="24"/>
          <w:szCs w:val="24"/>
          <w:shd w:val="clear" w:color="auto" w:fill="FFFFFF"/>
          <w:lang w:val="en-GB" w:eastAsia="de-DE"/>
        </w:rPr>
        <w:t>For example</w:t>
      </w:r>
      <w:r w:rsidR="00AE67E4">
        <w:rPr>
          <w:rFonts w:ascii="Times New Roman" w:eastAsia="Times New Roman" w:hAnsi="Times New Roman" w:cs="Times New Roman"/>
          <w:color w:val="000000"/>
          <w:sz w:val="24"/>
          <w:szCs w:val="24"/>
          <w:shd w:val="clear" w:color="auto" w:fill="FFFFFF"/>
          <w:lang w:val="en-GB" w:eastAsia="de-DE"/>
        </w:rPr>
        <w:t xml:space="preserve">, in 2009, when the European Commission President, José Manuel Barroso, asked the former Commissioner Mario Monti to suggest a strategy for “relaunching the Single Market”, he identified the benefits of the Single Market in “a powerful engine for growth and delivering the full benefits to consumers”. </w:t>
      </w:r>
      <w:r w:rsidR="006A4EFC">
        <w:rPr>
          <w:rFonts w:ascii="Times New Roman" w:eastAsia="Times New Roman" w:hAnsi="Times New Roman" w:cs="Times New Roman"/>
          <w:color w:val="000000"/>
          <w:sz w:val="24"/>
          <w:szCs w:val="24"/>
          <w:shd w:val="clear" w:color="auto" w:fill="FFFFFF"/>
          <w:lang w:val="en-GB" w:eastAsia="de-DE"/>
        </w:rPr>
        <w:t xml:space="preserve">From this perspective, the framework discussed in this paper actually allows to take the face </w:t>
      </w:r>
      <w:r w:rsidR="00F143AB">
        <w:rPr>
          <w:rFonts w:ascii="Times New Roman" w:eastAsia="Times New Roman" w:hAnsi="Times New Roman" w:cs="Times New Roman"/>
          <w:color w:val="000000"/>
          <w:sz w:val="24"/>
          <w:szCs w:val="24"/>
          <w:shd w:val="clear" w:color="auto" w:fill="FFFFFF"/>
          <w:lang w:val="en-GB" w:eastAsia="de-DE"/>
        </w:rPr>
        <w:t xml:space="preserve">value </w:t>
      </w:r>
      <w:r w:rsidR="006A4EFC">
        <w:rPr>
          <w:rFonts w:ascii="Times New Roman" w:eastAsia="Times New Roman" w:hAnsi="Times New Roman" w:cs="Times New Roman"/>
          <w:color w:val="000000"/>
          <w:sz w:val="24"/>
          <w:szCs w:val="24"/>
          <w:shd w:val="clear" w:color="auto" w:fill="FFFFFF"/>
          <w:lang w:val="en-GB" w:eastAsia="de-DE"/>
        </w:rPr>
        <w:t>of declaration</w:t>
      </w:r>
      <w:r w:rsidR="00F143AB">
        <w:rPr>
          <w:rFonts w:ascii="Times New Roman" w:eastAsia="Times New Roman" w:hAnsi="Times New Roman" w:cs="Times New Roman"/>
          <w:color w:val="000000"/>
          <w:sz w:val="24"/>
          <w:szCs w:val="24"/>
          <w:shd w:val="clear" w:color="auto" w:fill="FFFFFF"/>
          <w:lang w:val="en-GB" w:eastAsia="de-DE"/>
        </w:rPr>
        <w:t>s</w:t>
      </w:r>
      <w:r w:rsidR="006A4EFC">
        <w:rPr>
          <w:rFonts w:ascii="Times New Roman" w:eastAsia="Times New Roman" w:hAnsi="Times New Roman" w:cs="Times New Roman"/>
          <w:color w:val="000000"/>
          <w:sz w:val="24"/>
          <w:szCs w:val="24"/>
          <w:shd w:val="clear" w:color="auto" w:fill="FFFFFF"/>
          <w:lang w:val="en-GB" w:eastAsia="de-DE"/>
        </w:rPr>
        <w:t xml:space="preserve"> </w:t>
      </w:r>
      <w:r w:rsidR="001F1883">
        <w:rPr>
          <w:rFonts w:ascii="Times New Roman" w:eastAsia="Times New Roman" w:hAnsi="Times New Roman" w:cs="Times New Roman"/>
          <w:color w:val="000000"/>
          <w:sz w:val="24"/>
          <w:szCs w:val="24"/>
          <w:shd w:val="clear" w:color="auto" w:fill="FFFFFF"/>
          <w:lang w:val="en-GB" w:eastAsia="de-DE"/>
        </w:rPr>
        <w:t>like this</w:t>
      </w:r>
      <w:r w:rsidR="006A4EFC">
        <w:rPr>
          <w:rFonts w:ascii="Times New Roman" w:eastAsia="Times New Roman" w:hAnsi="Times New Roman" w:cs="Times New Roman"/>
          <w:color w:val="000000"/>
          <w:sz w:val="24"/>
          <w:szCs w:val="24"/>
          <w:shd w:val="clear" w:color="auto" w:fill="FFFFFF"/>
          <w:lang w:val="en-GB" w:eastAsia="de-DE"/>
        </w:rPr>
        <w:t xml:space="preserve"> seriously. </w:t>
      </w:r>
    </w:p>
    <w:p w14:paraId="458B989A" w14:textId="7DB8BA8F" w:rsidR="00743743" w:rsidRPr="00497A81" w:rsidRDefault="00F30519" w:rsidP="00743743">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We think that </w:t>
      </w:r>
      <w:r w:rsidR="002E743D" w:rsidRPr="00497A81">
        <w:rPr>
          <w:rFonts w:ascii="Times New Roman" w:eastAsia="Times New Roman" w:hAnsi="Times New Roman" w:cs="Times New Roman"/>
          <w:color w:val="000000"/>
          <w:sz w:val="24"/>
          <w:szCs w:val="24"/>
          <w:shd w:val="clear" w:color="auto" w:fill="FFFFFF"/>
          <w:lang w:val="en-GB" w:eastAsia="de-DE"/>
        </w:rPr>
        <w:t>the analysis of the aforementioned directives (MiFID II, CCD, and MCD)</w:t>
      </w:r>
      <w:r w:rsidRPr="00497A81">
        <w:rPr>
          <w:rFonts w:ascii="Times New Roman" w:eastAsia="Times New Roman" w:hAnsi="Times New Roman" w:cs="Times New Roman"/>
          <w:color w:val="000000"/>
          <w:sz w:val="24"/>
          <w:szCs w:val="24"/>
          <w:shd w:val="clear" w:color="auto" w:fill="FFFFFF"/>
          <w:lang w:val="en-GB" w:eastAsia="de-DE"/>
        </w:rPr>
        <w:t xml:space="preserve"> </w:t>
      </w:r>
      <w:r w:rsidR="002E743D" w:rsidRPr="00497A81">
        <w:rPr>
          <w:rFonts w:ascii="Times New Roman" w:eastAsia="Times New Roman" w:hAnsi="Times New Roman" w:cs="Times New Roman"/>
          <w:color w:val="000000"/>
          <w:sz w:val="24"/>
          <w:szCs w:val="24"/>
          <w:shd w:val="clear" w:color="auto" w:fill="FFFFFF"/>
          <w:lang w:val="en-GB" w:eastAsia="de-DE"/>
        </w:rPr>
        <w:t>is</w:t>
      </w:r>
      <w:r w:rsidRPr="00497A81">
        <w:rPr>
          <w:rFonts w:ascii="Times New Roman" w:eastAsia="Times New Roman" w:hAnsi="Times New Roman" w:cs="Times New Roman"/>
          <w:color w:val="000000"/>
          <w:sz w:val="24"/>
          <w:szCs w:val="24"/>
          <w:shd w:val="clear" w:color="auto" w:fill="FFFFFF"/>
          <w:lang w:val="en-GB" w:eastAsia="de-DE"/>
        </w:rPr>
        <w:t xml:space="preserve"> particularly suited for serving as a</w:t>
      </w:r>
      <w:r w:rsidR="00891FE8" w:rsidRPr="00497A81">
        <w:rPr>
          <w:rFonts w:ascii="Times New Roman" w:eastAsia="Times New Roman" w:hAnsi="Times New Roman" w:cs="Times New Roman"/>
          <w:color w:val="000000"/>
          <w:sz w:val="24"/>
          <w:szCs w:val="24"/>
          <w:shd w:val="clear" w:color="auto" w:fill="FFFFFF"/>
          <w:lang w:val="en-GB" w:eastAsia="de-DE"/>
        </w:rPr>
        <w:t xml:space="preserve"> concrete</w:t>
      </w:r>
      <w:r w:rsidRPr="00497A81">
        <w:rPr>
          <w:rFonts w:ascii="Times New Roman" w:eastAsia="Times New Roman" w:hAnsi="Times New Roman" w:cs="Times New Roman"/>
          <w:color w:val="000000"/>
          <w:sz w:val="24"/>
          <w:szCs w:val="24"/>
          <w:shd w:val="clear" w:color="auto" w:fill="FFFFFF"/>
          <w:lang w:val="en-GB" w:eastAsia="de-DE"/>
        </w:rPr>
        <w:t xml:space="preserve"> example for </w:t>
      </w:r>
      <w:r w:rsidR="002E743D" w:rsidRPr="00497A81">
        <w:rPr>
          <w:rFonts w:ascii="Times New Roman" w:eastAsia="Times New Roman" w:hAnsi="Times New Roman" w:cs="Times New Roman"/>
          <w:color w:val="000000"/>
          <w:sz w:val="24"/>
          <w:szCs w:val="24"/>
          <w:shd w:val="clear" w:color="auto" w:fill="FFFFFF"/>
          <w:lang w:val="en-GB" w:eastAsia="de-DE"/>
        </w:rPr>
        <w:t>our</w:t>
      </w:r>
      <w:r w:rsidRPr="00497A81">
        <w:rPr>
          <w:rFonts w:ascii="Times New Roman" w:eastAsia="Times New Roman" w:hAnsi="Times New Roman" w:cs="Times New Roman"/>
          <w:color w:val="000000"/>
          <w:sz w:val="24"/>
          <w:szCs w:val="24"/>
          <w:shd w:val="clear" w:color="auto" w:fill="FFFFFF"/>
          <w:lang w:val="en-GB" w:eastAsia="de-DE"/>
        </w:rPr>
        <w:t xml:space="preserve"> broader claim. </w:t>
      </w:r>
      <w:r w:rsidR="002E743D" w:rsidRPr="00497A81">
        <w:rPr>
          <w:rFonts w:ascii="Times New Roman" w:eastAsia="Times New Roman" w:hAnsi="Times New Roman" w:cs="Times New Roman"/>
          <w:color w:val="000000"/>
          <w:sz w:val="24"/>
          <w:szCs w:val="24"/>
          <w:shd w:val="clear" w:color="auto" w:fill="FFFFFF"/>
          <w:lang w:val="en-GB" w:eastAsia="de-DE"/>
        </w:rPr>
        <w:t>Applied to these market interactions</w:t>
      </w:r>
      <w:r w:rsidR="00743743" w:rsidRPr="00497A81">
        <w:rPr>
          <w:rFonts w:ascii="Times New Roman" w:eastAsia="Times New Roman" w:hAnsi="Times New Roman" w:cs="Times New Roman"/>
          <w:color w:val="000000"/>
          <w:sz w:val="24"/>
          <w:szCs w:val="24"/>
          <w:shd w:val="clear" w:color="auto" w:fill="FFFFFF"/>
          <w:lang w:val="en-GB" w:eastAsia="de-DE"/>
        </w:rPr>
        <w:t xml:space="preserve">, </w:t>
      </w:r>
      <w:r w:rsidRPr="00497A81">
        <w:rPr>
          <w:rFonts w:ascii="Times New Roman" w:eastAsia="Times New Roman" w:hAnsi="Times New Roman" w:cs="Times New Roman"/>
          <w:color w:val="000000"/>
          <w:sz w:val="24"/>
          <w:szCs w:val="24"/>
          <w:shd w:val="clear" w:color="auto" w:fill="FFFFFF"/>
          <w:lang w:val="en-GB" w:eastAsia="de-DE"/>
        </w:rPr>
        <w:t xml:space="preserve">the </w:t>
      </w:r>
      <w:r w:rsidR="00470836" w:rsidRPr="00497A81">
        <w:rPr>
          <w:rFonts w:ascii="Times New Roman" w:eastAsia="Times New Roman" w:hAnsi="Times New Roman" w:cs="Times New Roman"/>
          <w:color w:val="000000"/>
          <w:sz w:val="24"/>
          <w:szCs w:val="24"/>
          <w:shd w:val="clear" w:color="auto" w:fill="FFFFFF"/>
          <w:lang w:val="en-GB" w:eastAsia="de-DE"/>
        </w:rPr>
        <w:t xml:space="preserve">microeconomic </w:t>
      </w:r>
      <w:r w:rsidR="002E743D" w:rsidRPr="00497A81">
        <w:rPr>
          <w:rFonts w:ascii="Times New Roman" w:eastAsia="Times New Roman" w:hAnsi="Times New Roman" w:cs="Times New Roman"/>
          <w:color w:val="000000"/>
          <w:sz w:val="24"/>
          <w:szCs w:val="24"/>
          <w:shd w:val="clear" w:color="auto" w:fill="FFFFFF"/>
          <w:lang w:val="en-GB" w:eastAsia="de-DE"/>
        </w:rPr>
        <w:t xml:space="preserve">normative </w:t>
      </w:r>
      <w:r w:rsidRPr="00497A81">
        <w:rPr>
          <w:rFonts w:ascii="Times New Roman" w:eastAsia="Times New Roman" w:hAnsi="Times New Roman" w:cs="Times New Roman"/>
          <w:color w:val="000000"/>
          <w:sz w:val="24"/>
          <w:szCs w:val="24"/>
          <w:shd w:val="clear" w:color="auto" w:fill="FFFFFF"/>
          <w:lang w:val="en-GB" w:eastAsia="de-DE"/>
        </w:rPr>
        <w:t xml:space="preserve">goal </w:t>
      </w:r>
      <w:r w:rsidR="002E743D" w:rsidRPr="00497A81">
        <w:rPr>
          <w:rFonts w:ascii="Times New Roman" w:eastAsia="Times New Roman" w:hAnsi="Times New Roman" w:cs="Times New Roman"/>
          <w:color w:val="000000"/>
          <w:sz w:val="24"/>
          <w:szCs w:val="24"/>
          <w:shd w:val="clear" w:color="auto" w:fill="FFFFFF"/>
          <w:lang w:val="en-GB" w:eastAsia="de-DE"/>
        </w:rPr>
        <w:t>is the</w:t>
      </w:r>
      <w:r w:rsidR="00743743" w:rsidRPr="00497A81">
        <w:rPr>
          <w:rFonts w:ascii="Times New Roman" w:eastAsia="Times New Roman" w:hAnsi="Times New Roman" w:cs="Times New Roman"/>
          <w:color w:val="000000"/>
          <w:sz w:val="24"/>
          <w:szCs w:val="24"/>
          <w:shd w:val="clear" w:color="auto" w:fill="FFFFFF"/>
          <w:lang w:val="en-GB" w:eastAsia="de-DE"/>
        </w:rPr>
        <w:t xml:space="preserve"> maximization of</w:t>
      </w:r>
      <w:r w:rsidR="009F478D" w:rsidRPr="00497A81">
        <w:rPr>
          <w:rFonts w:ascii="Times New Roman" w:eastAsia="Times New Roman" w:hAnsi="Times New Roman" w:cs="Times New Roman"/>
          <w:color w:val="000000"/>
          <w:sz w:val="24"/>
          <w:szCs w:val="24"/>
          <w:shd w:val="clear" w:color="auto" w:fill="FFFFFF"/>
          <w:lang w:val="en-GB" w:eastAsia="de-DE"/>
        </w:rPr>
        <w:t xml:space="preserve"> </w:t>
      </w:r>
      <w:r w:rsidR="002E743D" w:rsidRPr="00497A81">
        <w:rPr>
          <w:rFonts w:ascii="Times New Roman" w:eastAsia="Times New Roman" w:hAnsi="Times New Roman" w:cs="Times New Roman"/>
          <w:color w:val="000000"/>
          <w:sz w:val="24"/>
          <w:szCs w:val="24"/>
          <w:shd w:val="clear" w:color="auto" w:fill="FFFFFF"/>
          <w:lang w:val="en-GB" w:eastAsia="de-DE"/>
        </w:rPr>
        <w:t xml:space="preserve">the </w:t>
      </w:r>
      <w:r w:rsidR="00743743" w:rsidRPr="00497A81">
        <w:rPr>
          <w:rFonts w:ascii="Times New Roman" w:eastAsia="Times New Roman" w:hAnsi="Times New Roman" w:cs="Times New Roman"/>
          <w:color w:val="000000"/>
          <w:sz w:val="24"/>
          <w:szCs w:val="24"/>
          <w:shd w:val="clear" w:color="auto" w:fill="FFFFFF"/>
          <w:lang w:val="en-GB" w:eastAsia="de-DE"/>
        </w:rPr>
        <w:t xml:space="preserve">welfare of </w:t>
      </w:r>
      <w:r w:rsidR="009F478D" w:rsidRPr="00497A81">
        <w:rPr>
          <w:rFonts w:ascii="Times New Roman" w:eastAsia="Times New Roman" w:hAnsi="Times New Roman" w:cs="Times New Roman"/>
          <w:color w:val="000000"/>
          <w:sz w:val="24"/>
          <w:szCs w:val="24"/>
          <w:shd w:val="clear" w:color="auto" w:fill="FFFFFF"/>
          <w:lang w:val="en-GB" w:eastAsia="de-DE"/>
        </w:rPr>
        <w:t xml:space="preserve">investors </w:t>
      </w:r>
      <w:r w:rsidR="002E743D" w:rsidRPr="00497A81">
        <w:rPr>
          <w:rFonts w:ascii="Times New Roman" w:eastAsia="Times New Roman" w:hAnsi="Times New Roman" w:cs="Times New Roman"/>
          <w:color w:val="000000"/>
          <w:sz w:val="24"/>
          <w:szCs w:val="24"/>
          <w:shd w:val="clear" w:color="auto" w:fill="FFFFFF"/>
          <w:lang w:val="en-GB" w:eastAsia="de-DE"/>
        </w:rPr>
        <w:t>and</w:t>
      </w:r>
      <w:r w:rsidR="009F478D" w:rsidRPr="00497A81">
        <w:rPr>
          <w:rFonts w:ascii="Times New Roman" w:eastAsia="Times New Roman" w:hAnsi="Times New Roman" w:cs="Times New Roman"/>
          <w:color w:val="000000"/>
          <w:sz w:val="24"/>
          <w:szCs w:val="24"/>
          <w:shd w:val="clear" w:color="auto" w:fill="FFFFFF"/>
          <w:lang w:val="en-GB" w:eastAsia="de-DE"/>
        </w:rPr>
        <w:t xml:space="preserve"> </w:t>
      </w:r>
      <w:r w:rsidR="00743743" w:rsidRPr="00497A81">
        <w:rPr>
          <w:rFonts w:ascii="Times New Roman" w:eastAsia="Times New Roman" w:hAnsi="Times New Roman" w:cs="Times New Roman"/>
          <w:color w:val="000000"/>
          <w:sz w:val="24"/>
          <w:szCs w:val="24"/>
          <w:shd w:val="clear" w:color="auto" w:fill="FFFFFF"/>
          <w:lang w:val="en-GB" w:eastAsia="de-DE"/>
        </w:rPr>
        <w:t xml:space="preserve">of </w:t>
      </w:r>
      <w:r w:rsidR="009F478D" w:rsidRPr="00497A81">
        <w:rPr>
          <w:rFonts w:ascii="Times New Roman" w:eastAsia="Times New Roman" w:hAnsi="Times New Roman" w:cs="Times New Roman"/>
          <w:color w:val="000000"/>
          <w:sz w:val="24"/>
          <w:szCs w:val="24"/>
          <w:shd w:val="clear" w:color="auto" w:fill="FFFFFF"/>
          <w:lang w:val="en-GB" w:eastAsia="de-DE"/>
        </w:rPr>
        <w:t>borrowers</w:t>
      </w:r>
      <w:r w:rsidR="003860D6">
        <w:rPr>
          <w:rFonts w:ascii="Times New Roman" w:eastAsia="Times New Roman" w:hAnsi="Times New Roman" w:cs="Times New Roman"/>
          <w:color w:val="000000"/>
          <w:sz w:val="24"/>
          <w:szCs w:val="24"/>
          <w:shd w:val="clear" w:color="auto" w:fill="FFFFFF"/>
          <w:lang w:val="en-GB" w:eastAsia="de-DE"/>
        </w:rPr>
        <w:t xml:space="preserve"> under the Paretian constrain</w:t>
      </w:r>
      <w:r w:rsidR="009F478D" w:rsidRPr="00497A81">
        <w:rPr>
          <w:rFonts w:ascii="Times New Roman" w:eastAsia="Times New Roman" w:hAnsi="Times New Roman" w:cs="Times New Roman"/>
          <w:color w:val="000000"/>
          <w:sz w:val="24"/>
          <w:szCs w:val="24"/>
          <w:shd w:val="clear" w:color="auto" w:fill="FFFFFF"/>
          <w:lang w:val="en-GB" w:eastAsia="de-DE"/>
        </w:rPr>
        <w:t>.</w:t>
      </w:r>
      <w:r w:rsidR="00375AFF"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2"/>
      </w:r>
      <w:r w:rsidR="009F478D" w:rsidRPr="00497A81">
        <w:rPr>
          <w:rFonts w:ascii="Times New Roman" w:eastAsia="Times New Roman" w:hAnsi="Times New Roman" w:cs="Times New Roman"/>
          <w:color w:val="000000"/>
          <w:sz w:val="24"/>
          <w:szCs w:val="24"/>
          <w:shd w:val="clear" w:color="auto" w:fill="FFFFFF"/>
          <w:lang w:val="en-GB" w:eastAsia="de-DE"/>
        </w:rPr>
        <w:t xml:space="preserve"> </w:t>
      </w:r>
      <w:r w:rsidR="00BD4659" w:rsidRPr="00497A81">
        <w:rPr>
          <w:rFonts w:ascii="Times New Roman" w:eastAsia="Times New Roman" w:hAnsi="Times New Roman" w:cs="Times New Roman"/>
          <w:color w:val="000000"/>
          <w:sz w:val="24"/>
          <w:szCs w:val="24"/>
          <w:shd w:val="clear" w:color="auto" w:fill="FFFFFF"/>
          <w:lang w:val="en-GB" w:eastAsia="de-DE"/>
        </w:rPr>
        <w:t>T</w:t>
      </w:r>
      <w:r w:rsidR="00375AFF" w:rsidRPr="00497A81">
        <w:rPr>
          <w:rFonts w:ascii="Times New Roman" w:eastAsia="Times New Roman" w:hAnsi="Times New Roman" w:cs="Times New Roman"/>
          <w:color w:val="000000"/>
          <w:sz w:val="24"/>
          <w:szCs w:val="24"/>
          <w:shd w:val="clear" w:color="auto" w:fill="FFFFFF"/>
          <w:lang w:val="en-GB" w:eastAsia="de-DE"/>
        </w:rPr>
        <w:t>he economic grounds of th</w:t>
      </w:r>
      <w:r w:rsidR="00BD4659" w:rsidRPr="00497A81">
        <w:rPr>
          <w:rFonts w:ascii="Times New Roman" w:eastAsia="Times New Roman" w:hAnsi="Times New Roman" w:cs="Times New Roman"/>
          <w:color w:val="000000"/>
          <w:sz w:val="24"/>
          <w:szCs w:val="24"/>
          <w:shd w:val="clear" w:color="auto" w:fill="FFFFFF"/>
          <w:lang w:val="en-GB" w:eastAsia="de-DE"/>
        </w:rPr>
        <w:t>is first step</w:t>
      </w:r>
      <w:r w:rsidR="009F478D" w:rsidRPr="00497A81">
        <w:rPr>
          <w:rFonts w:ascii="Times New Roman" w:eastAsia="Times New Roman" w:hAnsi="Times New Roman" w:cs="Times New Roman"/>
          <w:color w:val="000000"/>
          <w:sz w:val="24"/>
          <w:szCs w:val="24"/>
          <w:shd w:val="clear" w:color="auto" w:fill="FFFFFF"/>
          <w:lang w:val="en-GB" w:eastAsia="de-DE"/>
        </w:rPr>
        <w:t xml:space="preserve"> cannot be fully developed in this </w:t>
      </w:r>
      <w:r w:rsidR="005873F2">
        <w:rPr>
          <w:rFonts w:ascii="Times New Roman" w:eastAsia="Times New Roman" w:hAnsi="Times New Roman" w:cs="Times New Roman"/>
          <w:color w:val="000000"/>
          <w:sz w:val="24"/>
          <w:szCs w:val="24"/>
          <w:shd w:val="clear" w:color="auto" w:fill="FFFFFF"/>
          <w:lang w:val="en-GB" w:eastAsia="de-DE"/>
        </w:rPr>
        <w:t>article</w:t>
      </w:r>
      <w:r w:rsidR="009F478D" w:rsidRPr="00497A81">
        <w:rPr>
          <w:rFonts w:ascii="Times New Roman" w:eastAsia="Times New Roman" w:hAnsi="Times New Roman" w:cs="Times New Roman"/>
          <w:color w:val="000000"/>
          <w:sz w:val="24"/>
          <w:szCs w:val="24"/>
          <w:shd w:val="clear" w:color="auto" w:fill="FFFFFF"/>
          <w:lang w:val="en-GB" w:eastAsia="de-DE"/>
        </w:rPr>
        <w:t xml:space="preserve">. Such </w:t>
      </w:r>
      <w:r w:rsidR="00375AFF" w:rsidRPr="00497A81">
        <w:rPr>
          <w:rFonts w:ascii="Times New Roman" w:eastAsia="Times New Roman" w:hAnsi="Times New Roman" w:cs="Times New Roman"/>
          <w:color w:val="000000"/>
          <w:sz w:val="24"/>
          <w:szCs w:val="24"/>
          <w:shd w:val="clear" w:color="auto" w:fill="FFFFFF"/>
          <w:lang w:val="en-GB" w:eastAsia="de-DE"/>
        </w:rPr>
        <w:t>conceptual premise</w:t>
      </w:r>
      <w:r w:rsidR="009F478D" w:rsidRPr="00497A81">
        <w:rPr>
          <w:rFonts w:ascii="Times New Roman" w:eastAsia="Times New Roman" w:hAnsi="Times New Roman" w:cs="Times New Roman"/>
          <w:color w:val="000000"/>
          <w:sz w:val="24"/>
          <w:szCs w:val="24"/>
          <w:shd w:val="clear" w:color="auto" w:fill="FFFFFF"/>
          <w:lang w:val="en-GB" w:eastAsia="de-DE"/>
        </w:rPr>
        <w:t xml:space="preserve"> is reserved to later</w:t>
      </w:r>
      <w:r w:rsidR="00BD4659" w:rsidRPr="00497A81">
        <w:rPr>
          <w:rFonts w:ascii="Times New Roman" w:eastAsia="Times New Roman" w:hAnsi="Times New Roman" w:cs="Times New Roman"/>
          <w:color w:val="000000"/>
          <w:sz w:val="24"/>
          <w:szCs w:val="24"/>
          <w:shd w:val="clear" w:color="auto" w:fill="FFFFFF"/>
          <w:lang w:val="en-GB" w:eastAsia="de-DE"/>
        </w:rPr>
        <w:t>,</w:t>
      </w:r>
      <w:r w:rsidR="009F478D" w:rsidRPr="00497A81">
        <w:rPr>
          <w:rFonts w:ascii="Times New Roman" w:eastAsia="Times New Roman" w:hAnsi="Times New Roman" w:cs="Times New Roman"/>
          <w:color w:val="000000"/>
          <w:sz w:val="24"/>
          <w:szCs w:val="24"/>
          <w:shd w:val="clear" w:color="auto" w:fill="FFFFFF"/>
          <w:lang w:val="en-GB" w:eastAsia="de-DE"/>
        </w:rPr>
        <w:t xml:space="preserve"> more extensive work.</w:t>
      </w:r>
      <w:r w:rsidR="009F478D"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3"/>
      </w:r>
      <w:r w:rsidR="009F478D" w:rsidRPr="00497A81">
        <w:rPr>
          <w:rFonts w:ascii="Times New Roman" w:eastAsia="Times New Roman" w:hAnsi="Times New Roman" w:cs="Times New Roman"/>
          <w:color w:val="000000"/>
          <w:sz w:val="24"/>
          <w:szCs w:val="24"/>
          <w:shd w:val="clear" w:color="auto" w:fill="FFFFFF"/>
          <w:lang w:val="en-GB" w:eastAsia="de-DE"/>
        </w:rPr>
        <w:t xml:space="preserve"> What can, however, </w:t>
      </w:r>
      <w:r w:rsidR="00743743" w:rsidRPr="00497A81">
        <w:rPr>
          <w:rFonts w:ascii="Times New Roman" w:eastAsia="Times New Roman" w:hAnsi="Times New Roman" w:cs="Times New Roman"/>
          <w:color w:val="000000"/>
          <w:sz w:val="24"/>
          <w:szCs w:val="24"/>
          <w:shd w:val="clear" w:color="auto" w:fill="FFFFFF"/>
          <w:lang w:val="en-GB" w:eastAsia="de-DE"/>
        </w:rPr>
        <w:t>be achieved here and what is important as a basis for the second step is to expose one of the core arguments which speaks in favour of such an alternative approach</w:t>
      </w:r>
      <w:r w:rsidR="00B97FB9" w:rsidRPr="00497A81">
        <w:rPr>
          <w:rFonts w:ascii="Times New Roman" w:eastAsia="Times New Roman" w:hAnsi="Times New Roman" w:cs="Times New Roman"/>
          <w:color w:val="000000"/>
          <w:sz w:val="24"/>
          <w:szCs w:val="24"/>
          <w:shd w:val="clear" w:color="auto" w:fill="FFFFFF"/>
          <w:lang w:val="en-GB" w:eastAsia="de-DE"/>
        </w:rPr>
        <w:t xml:space="preserve">. </w:t>
      </w:r>
      <w:r w:rsidR="008F4879" w:rsidRPr="00497A81">
        <w:rPr>
          <w:rFonts w:ascii="Times New Roman" w:eastAsia="Times New Roman" w:hAnsi="Times New Roman" w:cs="Times New Roman"/>
          <w:color w:val="000000"/>
          <w:sz w:val="24"/>
          <w:szCs w:val="24"/>
          <w:shd w:val="clear" w:color="auto" w:fill="FFFFFF"/>
          <w:lang w:val="en-GB" w:eastAsia="de-DE"/>
        </w:rPr>
        <w:t>This</w:t>
      </w:r>
      <w:r w:rsidR="002E743D" w:rsidRPr="00497A81">
        <w:rPr>
          <w:rFonts w:ascii="Times New Roman" w:eastAsia="Times New Roman" w:hAnsi="Times New Roman" w:cs="Times New Roman"/>
          <w:color w:val="000000"/>
          <w:sz w:val="24"/>
          <w:szCs w:val="24"/>
          <w:shd w:val="clear" w:color="auto" w:fill="FFFFFF"/>
          <w:lang w:val="en-GB" w:eastAsia="de-DE"/>
        </w:rPr>
        <w:t xml:space="preserve"> preliminary</w:t>
      </w:r>
      <w:r w:rsidR="008F4879" w:rsidRPr="00497A81">
        <w:rPr>
          <w:rFonts w:ascii="Times New Roman" w:eastAsia="Times New Roman" w:hAnsi="Times New Roman" w:cs="Times New Roman"/>
          <w:color w:val="000000"/>
          <w:sz w:val="24"/>
          <w:szCs w:val="24"/>
          <w:shd w:val="clear" w:color="auto" w:fill="FFFFFF"/>
          <w:lang w:val="en-GB" w:eastAsia="de-DE"/>
        </w:rPr>
        <w:t xml:space="preserve"> </w:t>
      </w:r>
      <w:r w:rsidR="00B97FB9" w:rsidRPr="00497A81">
        <w:rPr>
          <w:rFonts w:ascii="Times New Roman" w:eastAsia="Times New Roman" w:hAnsi="Times New Roman" w:cs="Times New Roman"/>
          <w:color w:val="000000"/>
          <w:sz w:val="24"/>
          <w:szCs w:val="24"/>
          <w:shd w:val="clear" w:color="auto" w:fill="FFFFFF"/>
          <w:lang w:val="en-GB" w:eastAsia="de-DE"/>
        </w:rPr>
        <w:t xml:space="preserve">inquiry of the </w:t>
      </w:r>
      <w:r w:rsidR="00470836" w:rsidRPr="00497A81">
        <w:rPr>
          <w:rFonts w:ascii="Times New Roman" w:eastAsia="Times New Roman" w:hAnsi="Times New Roman" w:cs="Times New Roman"/>
          <w:color w:val="000000"/>
          <w:sz w:val="24"/>
          <w:szCs w:val="24"/>
          <w:shd w:val="clear" w:color="auto" w:fill="FFFFFF"/>
          <w:lang w:val="en-GB" w:eastAsia="de-DE"/>
        </w:rPr>
        <w:t xml:space="preserve">micro level </w:t>
      </w:r>
      <w:r w:rsidR="00B97FB9" w:rsidRPr="00497A81">
        <w:rPr>
          <w:rFonts w:ascii="Times New Roman" w:eastAsia="Times New Roman" w:hAnsi="Times New Roman" w:cs="Times New Roman"/>
          <w:color w:val="000000"/>
          <w:sz w:val="24"/>
          <w:szCs w:val="24"/>
          <w:shd w:val="clear" w:color="auto" w:fill="FFFFFF"/>
          <w:lang w:val="en-GB" w:eastAsia="de-DE"/>
        </w:rPr>
        <w:t xml:space="preserve">ultimate goal </w:t>
      </w:r>
      <w:r w:rsidR="008F4879" w:rsidRPr="00497A81">
        <w:rPr>
          <w:rFonts w:ascii="Times New Roman" w:eastAsia="Times New Roman" w:hAnsi="Times New Roman" w:cs="Times New Roman"/>
          <w:color w:val="000000"/>
          <w:sz w:val="24"/>
          <w:szCs w:val="24"/>
          <w:shd w:val="clear" w:color="auto" w:fill="FFFFFF"/>
          <w:lang w:val="en-GB" w:eastAsia="de-DE"/>
        </w:rPr>
        <w:t>is done below</w:t>
      </w:r>
      <w:r w:rsidR="00BD4659" w:rsidRPr="00497A81">
        <w:rPr>
          <w:rFonts w:ascii="Times New Roman" w:eastAsia="Times New Roman" w:hAnsi="Times New Roman" w:cs="Times New Roman"/>
          <w:color w:val="000000"/>
          <w:sz w:val="24"/>
          <w:szCs w:val="24"/>
          <w:shd w:val="clear" w:color="auto" w:fill="FFFFFF"/>
          <w:lang w:val="en-GB" w:eastAsia="de-DE"/>
        </w:rPr>
        <w:t>,</w:t>
      </w:r>
      <w:r w:rsidR="008F4879" w:rsidRPr="00497A81">
        <w:rPr>
          <w:rFonts w:ascii="Times New Roman" w:eastAsia="Times New Roman" w:hAnsi="Times New Roman" w:cs="Times New Roman"/>
          <w:color w:val="000000"/>
          <w:sz w:val="24"/>
          <w:szCs w:val="24"/>
          <w:shd w:val="clear" w:color="auto" w:fill="FFFFFF"/>
          <w:lang w:val="en-GB" w:eastAsia="de-DE"/>
        </w:rPr>
        <w:t xml:space="preserve"> </w:t>
      </w:r>
      <w:r w:rsidR="00BD4659" w:rsidRPr="00497A81">
        <w:rPr>
          <w:rFonts w:ascii="Times New Roman" w:eastAsia="Times New Roman" w:hAnsi="Times New Roman" w:cs="Times New Roman"/>
          <w:color w:val="000000"/>
          <w:sz w:val="24"/>
          <w:szCs w:val="24"/>
          <w:shd w:val="clear" w:color="auto" w:fill="FFFFFF"/>
          <w:lang w:val="en-GB" w:eastAsia="de-DE"/>
        </w:rPr>
        <w:t xml:space="preserve">in </w:t>
      </w:r>
      <w:r w:rsidR="008F4879" w:rsidRPr="00497A81">
        <w:rPr>
          <w:rFonts w:ascii="Times New Roman" w:eastAsia="Times New Roman" w:hAnsi="Times New Roman" w:cs="Times New Roman"/>
          <w:color w:val="000000"/>
          <w:sz w:val="24"/>
          <w:szCs w:val="24"/>
          <w:shd w:val="clear" w:color="auto" w:fill="FFFFFF"/>
          <w:lang w:val="en-GB" w:eastAsia="de-DE"/>
        </w:rPr>
        <w:t>section II.</w:t>
      </w:r>
    </w:p>
    <w:p w14:paraId="176A1A19" w14:textId="510270D7" w:rsidR="00BD4659" w:rsidRPr="00DE55A7" w:rsidRDefault="00743743" w:rsidP="0038441A">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lastRenderedPageBreak/>
        <w:t>In a second step</w:t>
      </w:r>
      <w:r w:rsidR="00B97FB9"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 xml:space="preserve"> </w:t>
      </w:r>
      <w:r w:rsidR="00B97FB9" w:rsidRPr="00497A81">
        <w:rPr>
          <w:rFonts w:ascii="Times New Roman" w:eastAsia="Times New Roman" w:hAnsi="Times New Roman" w:cs="Times New Roman"/>
          <w:color w:val="000000"/>
          <w:sz w:val="24"/>
          <w:szCs w:val="24"/>
          <w:shd w:val="clear" w:color="auto" w:fill="FFFFFF"/>
          <w:lang w:val="en-GB" w:eastAsia="de-DE"/>
        </w:rPr>
        <w:t>we propose to analyse centre-pieces of said reforms in financial services regulation at the EU level.</w:t>
      </w:r>
      <w:r w:rsidR="00891FE8" w:rsidRPr="00497A81">
        <w:rPr>
          <w:rFonts w:ascii="Times New Roman" w:eastAsia="Times New Roman" w:hAnsi="Times New Roman" w:cs="Times New Roman"/>
          <w:color w:val="000000"/>
          <w:sz w:val="24"/>
          <w:szCs w:val="24"/>
          <w:shd w:val="clear" w:color="auto" w:fill="FFFFFF"/>
          <w:lang w:val="en-GB" w:eastAsia="de-DE"/>
        </w:rPr>
        <w:t xml:space="preserve"> To do so, we sketch a principal multi agent framework in </w:t>
      </w:r>
      <w:r w:rsidR="001F1883">
        <w:rPr>
          <w:rFonts w:ascii="Times New Roman" w:eastAsia="Times New Roman" w:hAnsi="Times New Roman" w:cs="Times New Roman"/>
          <w:color w:val="000000"/>
          <w:sz w:val="24"/>
          <w:szCs w:val="24"/>
          <w:shd w:val="clear" w:color="auto" w:fill="FFFFFF"/>
          <w:lang w:val="en-GB" w:eastAsia="de-DE"/>
        </w:rPr>
        <w:t>s</w:t>
      </w:r>
      <w:r w:rsidR="00891FE8" w:rsidRPr="00497A81">
        <w:rPr>
          <w:rFonts w:ascii="Times New Roman" w:eastAsia="Times New Roman" w:hAnsi="Times New Roman" w:cs="Times New Roman"/>
          <w:color w:val="000000"/>
          <w:sz w:val="24"/>
          <w:szCs w:val="24"/>
          <w:shd w:val="clear" w:color="auto" w:fill="FFFFFF"/>
          <w:lang w:val="en-GB" w:eastAsia="de-DE"/>
        </w:rPr>
        <w:t xml:space="preserve">ection </w:t>
      </w:r>
      <w:r w:rsidR="001F1883">
        <w:rPr>
          <w:rFonts w:ascii="Times New Roman" w:eastAsia="Times New Roman" w:hAnsi="Times New Roman" w:cs="Times New Roman"/>
          <w:color w:val="000000"/>
          <w:sz w:val="24"/>
          <w:szCs w:val="24"/>
          <w:shd w:val="clear" w:color="auto" w:fill="FFFFFF"/>
          <w:lang w:val="en-GB" w:eastAsia="de-DE"/>
        </w:rPr>
        <w:t>III</w:t>
      </w:r>
      <w:r w:rsidR="00891FE8" w:rsidRPr="00497A81">
        <w:rPr>
          <w:rFonts w:ascii="Times New Roman" w:eastAsia="Times New Roman" w:hAnsi="Times New Roman" w:cs="Times New Roman"/>
          <w:color w:val="000000"/>
          <w:sz w:val="24"/>
          <w:szCs w:val="24"/>
          <w:shd w:val="clear" w:color="auto" w:fill="FFFFFF"/>
          <w:lang w:val="en-GB" w:eastAsia="de-DE"/>
        </w:rPr>
        <w:t>.</w:t>
      </w:r>
      <w:r w:rsidR="001F1883">
        <w:rPr>
          <w:rFonts w:ascii="Times New Roman" w:eastAsia="Times New Roman" w:hAnsi="Times New Roman" w:cs="Times New Roman"/>
          <w:color w:val="000000"/>
          <w:sz w:val="24"/>
          <w:szCs w:val="24"/>
          <w:shd w:val="clear" w:color="auto" w:fill="FFFFFF"/>
          <w:lang w:val="en-GB" w:eastAsia="de-DE"/>
        </w:rPr>
        <w:t xml:space="preserve"> The principal is aggregate consumer welfare and the agents are the consumers and the entrepreneurs (together: primary agents) and the legal system (acting as monitoring agent).</w:t>
      </w:r>
      <w:r w:rsidR="00891FE8" w:rsidRPr="00497A81">
        <w:rPr>
          <w:rFonts w:ascii="Times New Roman" w:eastAsia="Times New Roman" w:hAnsi="Times New Roman" w:cs="Times New Roman"/>
          <w:color w:val="000000"/>
          <w:sz w:val="24"/>
          <w:szCs w:val="24"/>
          <w:shd w:val="clear" w:color="auto" w:fill="FFFFFF"/>
          <w:lang w:val="en-GB" w:eastAsia="de-DE"/>
        </w:rPr>
        <w:t xml:space="preserve"> In the application of this framework,</w:t>
      </w:r>
      <w:r w:rsidR="00B97FB9" w:rsidRPr="00497A81">
        <w:rPr>
          <w:rFonts w:ascii="Times New Roman" w:eastAsia="Times New Roman" w:hAnsi="Times New Roman" w:cs="Times New Roman"/>
          <w:color w:val="000000"/>
          <w:sz w:val="24"/>
          <w:szCs w:val="24"/>
          <w:shd w:val="clear" w:color="auto" w:fill="FFFFFF"/>
          <w:lang w:val="en-GB" w:eastAsia="de-DE"/>
        </w:rPr>
        <w:t xml:space="preserve"> </w:t>
      </w:r>
      <w:r w:rsidR="00891FE8" w:rsidRPr="00497A81">
        <w:rPr>
          <w:rFonts w:ascii="Times New Roman" w:eastAsia="Times New Roman" w:hAnsi="Times New Roman" w:cs="Times New Roman"/>
          <w:color w:val="000000"/>
          <w:sz w:val="24"/>
          <w:szCs w:val="24"/>
          <w:shd w:val="clear" w:color="auto" w:fill="FFFFFF"/>
          <w:lang w:val="en-GB" w:eastAsia="de-DE"/>
        </w:rPr>
        <w:t xml:space="preserve">we </w:t>
      </w:r>
      <w:r w:rsidR="00BE7CF2">
        <w:rPr>
          <w:rFonts w:ascii="Times New Roman" w:eastAsia="Times New Roman" w:hAnsi="Times New Roman" w:cs="Times New Roman"/>
          <w:color w:val="000000"/>
          <w:sz w:val="24"/>
          <w:szCs w:val="24"/>
          <w:shd w:val="clear" w:color="auto" w:fill="FFFFFF"/>
          <w:lang w:val="en-GB" w:eastAsia="de-DE"/>
        </w:rPr>
        <w:t xml:space="preserve">start from </w:t>
      </w:r>
      <w:r w:rsidR="00B97FB9" w:rsidRPr="00497A81">
        <w:rPr>
          <w:rFonts w:ascii="Times New Roman" w:eastAsia="Times New Roman" w:hAnsi="Times New Roman" w:cs="Times New Roman"/>
          <w:color w:val="000000"/>
          <w:sz w:val="24"/>
          <w:szCs w:val="24"/>
          <w:shd w:val="clear" w:color="auto" w:fill="FFFFFF"/>
          <w:lang w:val="en-GB" w:eastAsia="de-DE"/>
        </w:rPr>
        <w:t>MiFID II – devoting two sections to it, namely sections I</w:t>
      </w:r>
      <w:r w:rsidR="00BE7CF2">
        <w:rPr>
          <w:rFonts w:ascii="Times New Roman" w:eastAsia="Times New Roman" w:hAnsi="Times New Roman" w:cs="Times New Roman"/>
          <w:color w:val="000000"/>
          <w:sz w:val="24"/>
          <w:szCs w:val="24"/>
          <w:shd w:val="clear" w:color="auto" w:fill="FFFFFF"/>
          <w:lang w:val="en-GB" w:eastAsia="de-DE"/>
        </w:rPr>
        <w:t xml:space="preserve">V. and </w:t>
      </w:r>
      <w:r w:rsidR="00B97FB9" w:rsidRPr="00497A81">
        <w:rPr>
          <w:rFonts w:ascii="Times New Roman" w:eastAsia="Times New Roman" w:hAnsi="Times New Roman" w:cs="Times New Roman"/>
          <w:color w:val="000000"/>
          <w:sz w:val="24"/>
          <w:szCs w:val="24"/>
          <w:shd w:val="clear" w:color="auto" w:fill="FFFFFF"/>
          <w:lang w:val="en-GB" w:eastAsia="de-DE"/>
        </w:rPr>
        <w:t xml:space="preserve">V. below – and do so for two reasons. </w:t>
      </w:r>
      <w:r w:rsidR="00BD4659" w:rsidRPr="00497A81">
        <w:rPr>
          <w:rFonts w:ascii="Times New Roman" w:eastAsia="Times New Roman" w:hAnsi="Times New Roman" w:cs="Times New Roman"/>
          <w:color w:val="000000"/>
          <w:sz w:val="24"/>
          <w:szCs w:val="24"/>
          <w:shd w:val="clear" w:color="auto" w:fill="FFFFFF"/>
          <w:lang w:val="en-GB" w:eastAsia="de-DE"/>
        </w:rPr>
        <w:t xml:space="preserve">First, as </w:t>
      </w:r>
      <w:r w:rsidR="00B97FB9" w:rsidRPr="00497A81">
        <w:rPr>
          <w:rFonts w:ascii="Times New Roman" w:eastAsia="Times New Roman" w:hAnsi="Times New Roman" w:cs="Times New Roman"/>
          <w:color w:val="000000"/>
          <w:sz w:val="24"/>
          <w:szCs w:val="24"/>
          <w:shd w:val="clear" w:color="auto" w:fill="FFFFFF"/>
          <w:lang w:val="en-GB" w:eastAsia="de-DE"/>
        </w:rPr>
        <w:t xml:space="preserve">the investment advice activity is seen as subjected to fiduciary duties already in mainstream </w:t>
      </w:r>
      <w:r w:rsidR="001B6195" w:rsidRPr="00497A81">
        <w:rPr>
          <w:rFonts w:ascii="Times New Roman" w:eastAsia="Times New Roman" w:hAnsi="Times New Roman" w:cs="Times New Roman"/>
          <w:color w:val="000000"/>
          <w:sz w:val="24"/>
          <w:szCs w:val="24"/>
          <w:shd w:val="clear" w:color="auto" w:fill="FFFFFF"/>
          <w:lang w:val="en-GB" w:eastAsia="de-DE"/>
        </w:rPr>
        <w:t>legal analysis,</w:t>
      </w:r>
      <w:r w:rsidR="001B6195"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4"/>
      </w:r>
      <w:r w:rsidR="001B6195" w:rsidRPr="00497A81">
        <w:rPr>
          <w:rFonts w:ascii="Times New Roman" w:eastAsia="Times New Roman" w:hAnsi="Times New Roman" w:cs="Times New Roman"/>
          <w:color w:val="000000"/>
          <w:sz w:val="24"/>
          <w:szCs w:val="24"/>
          <w:shd w:val="clear" w:color="auto" w:fill="FFFFFF"/>
          <w:lang w:val="en-GB" w:eastAsia="de-DE"/>
        </w:rPr>
        <w:t xml:space="preserve"> it would seem less ‘astonishing’ to analyse this reform in the terms proposed, i.e. as a principal agent relationship between client and services provider. It should, however, be kept in mind that investment advice transactions are typically accompanied also by execution, i.e. sales of securities, and therefore could </w:t>
      </w:r>
      <w:r w:rsidR="00D246F6" w:rsidRPr="00497A81">
        <w:rPr>
          <w:rFonts w:ascii="Times New Roman" w:eastAsia="Times New Roman" w:hAnsi="Times New Roman" w:cs="Times New Roman"/>
          <w:color w:val="000000"/>
          <w:sz w:val="24"/>
          <w:szCs w:val="24"/>
          <w:shd w:val="clear" w:color="auto" w:fill="FFFFFF"/>
          <w:lang w:val="en-GB" w:eastAsia="de-DE"/>
        </w:rPr>
        <w:t xml:space="preserve">actually </w:t>
      </w:r>
      <w:r w:rsidR="001B6195" w:rsidRPr="00497A81">
        <w:rPr>
          <w:rFonts w:ascii="Times New Roman" w:eastAsia="Times New Roman" w:hAnsi="Times New Roman" w:cs="Times New Roman"/>
          <w:color w:val="000000"/>
          <w:sz w:val="24"/>
          <w:szCs w:val="24"/>
          <w:shd w:val="clear" w:color="auto" w:fill="FFFFFF"/>
          <w:lang w:val="en-GB" w:eastAsia="de-DE"/>
        </w:rPr>
        <w:t xml:space="preserve">be seen as </w:t>
      </w:r>
      <w:r w:rsidR="004103F5" w:rsidRPr="00497A81">
        <w:rPr>
          <w:rFonts w:ascii="Times New Roman" w:eastAsia="Times New Roman" w:hAnsi="Times New Roman" w:cs="Times New Roman"/>
          <w:color w:val="000000"/>
          <w:sz w:val="24"/>
          <w:szCs w:val="24"/>
          <w:shd w:val="clear" w:color="auto" w:fill="FFFFFF"/>
          <w:lang w:val="en-GB" w:eastAsia="de-DE"/>
        </w:rPr>
        <w:t>‘</w:t>
      </w:r>
      <w:r w:rsidR="001B6195" w:rsidRPr="00497A81">
        <w:rPr>
          <w:rFonts w:ascii="Times New Roman" w:eastAsia="Times New Roman" w:hAnsi="Times New Roman" w:cs="Times New Roman"/>
          <w:color w:val="000000"/>
          <w:sz w:val="24"/>
          <w:szCs w:val="24"/>
          <w:shd w:val="clear" w:color="auto" w:fill="FFFFFF"/>
          <w:lang w:val="en-GB" w:eastAsia="de-DE"/>
        </w:rPr>
        <w:t>sales’ transactions</w:t>
      </w:r>
      <w:r w:rsidR="004103F5" w:rsidRPr="00497A81">
        <w:rPr>
          <w:rFonts w:ascii="Times New Roman" w:eastAsia="Times New Roman" w:hAnsi="Times New Roman" w:cs="Times New Roman"/>
          <w:color w:val="000000"/>
          <w:sz w:val="24"/>
          <w:szCs w:val="24"/>
          <w:shd w:val="clear" w:color="auto" w:fill="FFFFFF"/>
          <w:lang w:val="en-GB" w:eastAsia="de-DE"/>
        </w:rPr>
        <w:t>. The framework we propose, as we shall see in section IV., allows to explain why in these sales the service provider has typical obligations of an agent</w:t>
      </w:r>
      <w:r w:rsidR="00DE55A7">
        <w:rPr>
          <w:rFonts w:ascii="Times New Roman" w:eastAsia="Times New Roman" w:hAnsi="Times New Roman" w:cs="Times New Roman"/>
          <w:color w:val="000000"/>
          <w:sz w:val="24"/>
          <w:szCs w:val="24"/>
          <w:shd w:val="clear" w:color="auto" w:fill="FFFFFF"/>
          <w:lang w:val="en-GB" w:eastAsia="de-DE"/>
        </w:rPr>
        <w:t>,</w:t>
      </w:r>
      <w:r w:rsidR="001B6195" w:rsidRPr="00497A81">
        <w:rPr>
          <w:rFonts w:ascii="Times New Roman" w:eastAsia="Times New Roman" w:hAnsi="Times New Roman" w:cs="Times New Roman"/>
          <w:color w:val="000000"/>
          <w:sz w:val="24"/>
          <w:szCs w:val="24"/>
          <w:shd w:val="clear" w:color="auto" w:fill="FFFFFF"/>
          <w:lang w:val="en-GB" w:eastAsia="de-DE"/>
        </w:rPr>
        <w:t xml:space="preserve"> </w:t>
      </w:r>
      <w:r w:rsidR="00D246F6" w:rsidRPr="00BE7CF2">
        <w:rPr>
          <w:rFonts w:ascii="Times New Roman" w:eastAsia="Times New Roman" w:hAnsi="Times New Roman" w:cs="Times New Roman"/>
          <w:color w:val="000000"/>
          <w:sz w:val="24"/>
          <w:szCs w:val="24"/>
          <w:shd w:val="clear" w:color="auto" w:fill="FFFFFF"/>
          <w:lang w:val="en-GB" w:eastAsia="de-DE"/>
        </w:rPr>
        <w:t xml:space="preserve">as well </w:t>
      </w:r>
      <w:r w:rsidR="001B6195" w:rsidRPr="00BE7CF2">
        <w:rPr>
          <w:rFonts w:ascii="Times New Roman" w:eastAsia="Times New Roman" w:hAnsi="Times New Roman" w:cs="Times New Roman"/>
          <w:color w:val="000000"/>
          <w:sz w:val="24"/>
          <w:szCs w:val="24"/>
          <w:shd w:val="clear" w:color="auto" w:fill="FFFFFF"/>
          <w:lang w:val="en-GB" w:eastAsia="de-DE"/>
        </w:rPr>
        <w:t>and that it is interesting to explain why they are so completely dominated by the fiduciary part of giving disclosure and good advice and even find the best deal when executing (‘best execution’).</w:t>
      </w:r>
      <w:r w:rsidR="001B6195" w:rsidRPr="00497A81">
        <w:rPr>
          <w:rFonts w:ascii="Times New Roman" w:eastAsia="Times New Roman" w:hAnsi="Times New Roman" w:cs="Times New Roman"/>
          <w:color w:val="000000"/>
          <w:sz w:val="24"/>
          <w:szCs w:val="24"/>
          <w:shd w:val="clear" w:color="auto" w:fill="FFFFFF"/>
          <w:lang w:val="en-GB" w:eastAsia="de-DE"/>
        </w:rPr>
        <w:t xml:space="preserve"> The second reason for focusing on MiFID II predominantly is the richness of the regime: combining organizational and transactional features, combining standards and rules with preventive measures, combining market considerations with considerations on the individual contract </w:t>
      </w:r>
      <w:r w:rsidR="001B6195" w:rsidRPr="00DE55A7">
        <w:rPr>
          <w:rFonts w:ascii="Times New Roman" w:eastAsia="Times New Roman" w:hAnsi="Times New Roman" w:cs="Times New Roman"/>
          <w:color w:val="000000"/>
          <w:sz w:val="24"/>
          <w:szCs w:val="24"/>
          <w:shd w:val="clear" w:color="auto" w:fill="FFFFFF"/>
          <w:lang w:val="en-GB" w:eastAsia="de-DE"/>
        </w:rPr>
        <w:t xml:space="preserve">relationship and being in massive transformation from MiFID I to MiFID II in many of the instruments used. Therefore, even two sections on two core (sets of) instruments is </w:t>
      </w:r>
      <w:r w:rsidR="00D246F6" w:rsidRPr="00DE55A7">
        <w:rPr>
          <w:rFonts w:ascii="Times New Roman" w:eastAsia="Times New Roman" w:hAnsi="Times New Roman" w:cs="Times New Roman"/>
          <w:color w:val="000000"/>
          <w:sz w:val="24"/>
          <w:szCs w:val="24"/>
          <w:shd w:val="clear" w:color="auto" w:fill="FFFFFF"/>
          <w:lang w:val="en-GB" w:eastAsia="de-DE"/>
        </w:rPr>
        <w:t>by no means ‘excessive’</w:t>
      </w:r>
      <w:r w:rsidR="001B6195" w:rsidRPr="00DE55A7">
        <w:rPr>
          <w:rFonts w:ascii="Times New Roman" w:eastAsia="Times New Roman" w:hAnsi="Times New Roman" w:cs="Times New Roman"/>
          <w:color w:val="000000"/>
          <w:sz w:val="24"/>
          <w:szCs w:val="24"/>
          <w:shd w:val="clear" w:color="auto" w:fill="FFFFFF"/>
          <w:lang w:val="en-GB" w:eastAsia="de-DE"/>
        </w:rPr>
        <w:t xml:space="preserve">. </w:t>
      </w:r>
    </w:p>
    <w:p w14:paraId="5C77F5DD" w14:textId="26D1CF5F" w:rsidR="00743743" w:rsidRPr="00497A81" w:rsidRDefault="00BD4659" w:rsidP="0038441A">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sidRPr="00DE55A7">
        <w:rPr>
          <w:rFonts w:ascii="Times New Roman" w:eastAsia="Times New Roman" w:hAnsi="Times New Roman" w:cs="Times New Roman"/>
          <w:color w:val="000000"/>
          <w:sz w:val="24"/>
          <w:szCs w:val="24"/>
          <w:shd w:val="clear" w:color="auto" w:fill="FFFFFF"/>
          <w:lang w:val="en-GB" w:eastAsia="de-DE"/>
        </w:rPr>
        <w:t xml:space="preserve">Perhaps even more important for our argument is the analysis of </w:t>
      </w:r>
      <w:r w:rsidR="001501B1" w:rsidRPr="00DE55A7">
        <w:rPr>
          <w:rFonts w:ascii="Times New Roman" w:eastAsia="Times New Roman" w:hAnsi="Times New Roman" w:cs="Times New Roman"/>
          <w:color w:val="000000"/>
          <w:sz w:val="24"/>
          <w:szCs w:val="24"/>
          <w:shd w:val="clear" w:color="auto" w:fill="FFFFFF"/>
          <w:lang w:val="en-GB" w:eastAsia="de-DE"/>
        </w:rPr>
        <w:t>the recent lending reform</w:t>
      </w:r>
      <w:r w:rsidR="001501B1" w:rsidRPr="00497A81">
        <w:rPr>
          <w:rFonts w:ascii="Times New Roman" w:eastAsia="Times New Roman" w:hAnsi="Times New Roman" w:cs="Times New Roman"/>
          <w:color w:val="000000"/>
          <w:sz w:val="24"/>
          <w:szCs w:val="24"/>
          <w:shd w:val="clear" w:color="auto" w:fill="FFFFFF"/>
          <w:lang w:val="en-GB" w:eastAsia="de-DE"/>
        </w:rPr>
        <w:t xml:space="preserve"> in consumer credit law. In fact, while </w:t>
      </w:r>
      <w:r w:rsidR="001B6195" w:rsidRPr="00497A81">
        <w:rPr>
          <w:rFonts w:ascii="Times New Roman" w:eastAsia="Times New Roman" w:hAnsi="Times New Roman" w:cs="Times New Roman"/>
          <w:color w:val="000000"/>
          <w:sz w:val="24"/>
          <w:szCs w:val="24"/>
          <w:shd w:val="clear" w:color="auto" w:fill="FFFFFF"/>
          <w:lang w:val="en-GB" w:eastAsia="de-DE"/>
        </w:rPr>
        <w:t xml:space="preserve">investment advice is seen to be conditioned by fiduciary duties already by mainstream legal analysis, the loan business is different in this respect: Indeed lending is </w:t>
      </w:r>
      <w:r w:rsidR="001B6195" w:rsidRPr="00497A81">
        <w:rPr>
          <w:rFonts w:ascii="Times New Roman" w:eastAsia="Times New Roman" w:hAnsi="Times New Roman" w:cs="Times New Roman"/>
          <w:i/>
          <w:color w:val="000000"/>
          <w:sz w:val="24"/>
          <w:szCs w:val="24"/>
          <w:shd w:val="clear" w:color="auto" w:fill="FFFFFF"/>
          <w:lang w:val="en-GB" w:eastAsia="de-DE"/>
        </w:rPr>
        <w:t>not</w:t>
      </w:r>
      <w:r w:rsidR="001B6195" w:rsidRPr="00497A81">
        <w:rPr>
          <w:rFonts w:ascii="Times New Roman" w:eastAsia="Times New Roman" w:hAnsi="Times New Roman" w:cs="Times New Roman"/>
          <w:color w:val="000000"/>
          <w:sz w:val="24"/>
          <w:szCs w:val="24"/>
          <w:shd w:val="clear" w:color="auto" w:fill="FFFFFF"/>
          <w:lang w:val="en-GB" w:eastAsia="de-DE"/>
        </w:rPr>
        <w:t xml:space="preserve"> seen as a fiduciary relationship – or principal agent relationship –</w:t>
      </w:r>
      <w:r w:rsidR="00D246F6" w:rsidRPr="00497A81">
        <w:rPr>
          <w:rFonts w:ascii="Times New Roman" w:eastAsia="Times New Roman" w:hAnsi="Times New Roman" w:cs="Times New Roman"/>
          <w:color w:val="000000"/>
          <w:sz w:val="24"/>
          <w:szCs w:val="24"/>
          <w:shd w:val="clear" w:color="auto" w:fill="FFFFFF"/>
          <w:lang w:val="en-GB" w:eastAsia="de-DE"/>
        </w:rPr>
        <w:t xml:space="preserve"> in</w:t>
      </w:r>
      <w:r w:rsidR="001B6195" w:rsidRPr="00497A81">
        <w:rPr>
          <w:rFonts w:ascii="Times New Roman" w:eastAsia="Times New Roman" w:hAnsi="Times New Roman" w:cs="Times New Roman"/>
          <w:color w:val="000000"/>
          <w:sz w:val="24"/>
          <w:szCs w:val="24"/>
          <w:shd w:val="clear" w:color="auto" w:fill="FFFFFF"/>
          <w:lang w:val="en-GB" w:eastAsia="de-DE"/>
        </w:rPr>
        <w:t xml:space="preserve"> mainstream legal analysis.</w:t>
      </w:r>
      <w:r w:rsidR="00427B06">
        <w:rPr>
          <w:rStyle w:val="Rimandonotaapidipagina"/>
          <w:rFonts w:ascii="Times New Roman" w:eastAsia="Times New Roman" w:hAnsi="Times New Roman" w:cs="Times New Roman"/>
          <w:color w:val="000000"/>
          <w:sz w:val="24"/>
          <w:szCs w:val="24"/>
          <w:shd w:val="clear" w:color="auto" w:fill="FFFFFF"/>
          <w:lang w:val="en-GB" w:eastAsia="de-DE"/>
        </w:rPr>
        <w:footnoteReference w:id="15"/>
      </w:r>
      <w:r w:rsidR="001B6195" w:rsidRPr="00497A81">
        <w:rPr>
          <w:rFonts w:ascii="Times New Roman" w:eastAsia="Times New Roman" w:hAnsi="Times New Roman" w:cs="Times New Roman"/>
          <w:color w:val="000000"/>
          <w:sz w:val="24"/>
          <w:szCs w:val="24"/>
          <w:shd w:val="clear" w:color="auto" w:fill="FFFFFF"/>
          <w:lang w:val="en-GB" w:eastAsia="de-DE"/>
        </w:rPr>
        <w:t xml:space="preserve"> There may be a certain overspill from the large part of the banking contract business which is </w:t>
      </w:r>
      <w:r w:rsidR="00D246F6" w:rsidRPr="00497A81">
        <w:rPr>
          <w:rFonts w:ascii="Times New Roman" w:eastAsia="Times New Roman" w:hAnsi="Times New Roman" w:cs="Times New Roman"/>
          <w:color w:val="000000"/>
          <w:sz w:val="24"/>
          <w:szCs w:val="24"/>
          <w:shd w:val="clear" w:color="auto" w:fill="FFFFFF"/>
          <w:lang w:val="en-GB" w:eastAsia="de-DE"/>
        </w:rPr>
        <w:t xml:space="preserve">indeed </w:t>
      </w:r>
      <w:r w:rsidR="001B6195" w:rsidRPr="00497A81">
        <w:rPr>
          <w:rFonts w:ascii="Times New Roman" w:eastAsia="Times New Roman" w:hAnsi="Times New Roman" w:cs="Times New Roman"/>
          <w:color w:val="000000"/>
          <w:sz w:val="24"/>
          <w:szCs w:val="24"/>
          <w:shd w:val="clear" w:color="auto" w:fill="FFFFFF"/>
          <w:lang w:val="en-GB" w:eastAsia="de-DE"/>
        </w:rPr>
        <w:t>seen as being fiduciary in kind,</w:t>
      </w:r>
      <w:r w:rsidR="001B6195"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6"/>
      </w:r>
      <w:r w:rsidR="001B6195" w:rsidRPr="00497A81">
        <w:rPr>
          <w:rFonts w:ascii="Times New Roman" w:eastAsia="Times New Roman" w:hAnsi="Times New Roman" w:cs="Times New Roman"/>
          <w:color w:val="000000"/>
          <w:sz w:val="24"/>
          <w:szCs w:val="24"/>
          <w:shd w:val="clear" w:color="auto" w:fill="FFFFFF"/>
          <w:lang w:val="en-GB" w:eastAsia="de-DE"/>
        </w:rPr>
        <w:t xml:space="preserve"> but loans are primarily exchange contracts. They therefore would perhaps </w:t>
      </w:r>
      <w:r w:rsidR="00D246F6" w:rsidRPr="00497A81">
        <w:rPr>
          <w:rFonts w:ascii="Times New Roman" w:eastAsia="Times New Roman" w:hAnsi="Times New Roman" w:cs="Times New Roman"/>
          <w:color w:val="000000"/>
          <w:sz w:val="24"/>
          <w:szCs w:val="24"/>
          <w:shd w:val="clear" w:color="auto" w:fill="FFFFFF"/>
          <w:lang w:val="en-GB" w:eastAsia="de-DE"/>
        </w:rPr>
        <w:t xml:space="preserve">be </w:t>
      </w:r>
      <w:r w:rsidR="001B6195" w:rsidRPr="00497A81">
        <w:rPr>
          <w:rFonts w:ascii="Times New Roman" w:eastAsia="Times New Roman" w:hAnsi="Times New Roman" w:cs="Times New Roman"/>
          <w:color w:val="000000"/>
          <w:sz w:val="24"/>
          <w:szCs w:val="24"/>
          <w:shd w:val="clear" w:color="auto" w:fill="FFFFFF"/>
          <w:lang w:val="en-GB" w:eastAsia="de-DE"/>
        </w:rPr>
        <w:t>even more meaningful for the change of paradigm from overall welfare to consumer/client welfare – if really regulation there as well can be understood as aiming at consumer/client welfare primarily and as being well conceived if it does so. Therefore at least a few centre-pieces of the consumer credit law reforms in the EU serve as background and indeed as contrasting forms of regulation to the MiFID II reforms. This area is taken up below in section V</w:t>
      </w:r>
      <w:r w:rsidR="00BE7CF2">
        <w:rPr>
          <w:rFonts w:ascii="Times New Roman" w:eastAsia="Times New Roman" w:hAnsi="Times New Roman" w:cs="Times New Roman"/>
          <w:color w:val="000000"/>
          <w:sz w:val="24"/>
          <w:szCs w:val="24"/>
          <w:shd w:val="clear" w:color="auto" w:fill="FFFFFF"/>
          <w:lang w:val="en-GB" w:eastAsia="de-DE"/>
        </w:rPr>
        <w:t>I</w:t>
      </w:r>
      <w:r w:rsidR="001B6195" w:rsidRPr="00497A81">
        <w:rPr>
          <w:rFonts w:ascii="Times New Roman" w:eastAsia="Times New Roman" w:hAnsi="Times New Roman" w:cs="Times New Roman"/>
          <w:color w:val="000000"/>
          <w:sz w:val="24"/>
          <w:szCs w:val="24"/>
          <w:shd w:val="clear" w:color="auto" w:fill="FFFFFF"/>
          <w:lang w:val="en-GB" w:eastAsia="de-DE"/>
        </w:rPr>
        <w:t xml:space="preserve">. </w:t>
      </w:r>
      <w:r w:rsidR="00326F51">
        <w:rPr>
          <w:rFonts w:ascii="Times New Roman" w:eastAsia="Times New Roman" w:hAnsi="Times New Roman" w:cs="Times New Roman"/>
          <w:color w:val="000000"/>
          <w:sz w:val="24"/>
          <w:szCs w:val="24"/>
          <w:shd w:val="clear" w:color="auto" w:fill="FFFFFF"/>
          <w:lang w:val="en-GB" w:eastAsia="de-DE"/>
        </w:rPr>
        <w:t>S</w:t>
      </w:r>
      <w:r w:rsidR="001B6195" w:rsidRPr="00497A81">
        <w:rPr>
          <w:rFonts w:ascii="Times New Roman" w:eastAsia="Times New Roman" w:hAnsi="Times New Roman" w:cs="Times New Roman"/>
          <w:color w:val="000000"/>
          <w:sz w:val="24"/>
          <w:szCs w:val="24"/>
          <w:shd w:val="clear" w:color="auto" w:fill="FFFFFF"/>
          <w:lang w:val="en-GB" w:eastAsia="de-DE"/>
        </w:rPr>
        <w:t>ection VI</w:t>
      </w:r>
      <w:r w:rsidR="00BE7CF2">
        <w:rPr>
          <w:rFonts w:ascii="Times New Roman" w:eastAsia="Times New Roman" w:hAnsi="Times New Roman" w:cs="Times New Roman"/>
          <w:color w:val="000000"/>
          <w:sz w:val="24"/>
          <w:szCs w:val="24"/>
          <w:shd w:val="clear" w:color="auto" w:fill="FFFFFF"/>
          <w:lang w:val="en-GB" w:eastAsia="de-DE"/>
        </w:rPr>
        <w:t>I.</w:t>
      </w:r>
      <w:r w:rsidR="00326F51">
        <w:rPr>
          <w:rFonts w:ascii="Times New Roman" w:eastAsia="Times New Roman" w:hAnsi="Times New Roman" w:cs="Times New Roman"/>
          <w:color w:val="000000"/>
          <w:sz w:val="24"/>
          <w:szCs w:val="24"/>
          <w:shd w:val="clear" w:color="auto" w:fill="FFFFFF"/>
          <w:lang w:val="en-GB" w:eastAsia="de-DE"/>
        </w:rPr>
        <w:t xml:space="preserve"> concludes with an elaboration of the future steps of the research agenda</w:t>
      </w:r>
      <w:r w:rsidR="0047349A" w:rsidRPr="00497A81">
        <w:rPr>
          <w:rFonts w:ascii="Times New Roman" w:eastAsia="Times New Roman" w:hAnsi="Times New Roman" w:cs="Times New Roman"/>
          <w:color w:val="000000"/>
          <w:sz w:val="24"/>
          <w:szCs w:val="24"/>
          <w:shd w:val="clear" w:color="auto" w:fill="FFFFFF"/>
          <w:lang w:val="en-GB" w:eastAsia="de-DE"/>
        </w:rPr>
        <w:t xml:space="preserve"> </w:t>
      </w:r>
      <w:r w:rsidR="00326F51">
        <w:rPr>
          <w:rFonts w:ascii="Times New Roman" w:eastAsia="Times New Roman" w:hAnsi="Times New Roman" w:cs="Times New Roman"/>
          <w:color w:val="000000"/>
          <w:sz w:val="24"/>
          <w:szCs w:val="24"/>
          <w:shd w:val="clear" w:color="auto" w:fill="FFFFFF"/>
          <w:lang w:val="en-GB" w:eastAsia="de-DE"/>
        </w:rPr>
        <w:t>sketched in this article</w:t>
      </w:r>
      <w:r w:rsidR="001B6195" w:rsidRPr="00497A81">
        <w:rPr>
          <w:rFonts w:ascii="Times New Roman" w:eastAsia="Times New Roman" w:hAnsi="Times New Roman" w:cs="Times New Roman"/>
          <w:color w:val="000000"/>
          <w:sz w:val="24"/>
          <w:szCs w:val="24"/>
          <w:shd w:val="clear" w:color="auto" w:fill="FFFFFF"/>
          <w:lang w:val="en-GB" w:eastAsia="de-DE"/>
        </w:rPr>
        <w:t xml:space="preserve">. </w:t>
      </w:r>
    </w:p>
    <w:p w14:paraId="012015C0" w14:textId="77777777" w:rsidR="00CF1EB0" w:rsidRPr="00497A81" w:rsidRDefault="00CF1EB0" w:rsidP="0038441A">
      <w:pPr>
        <w:spacing w:after="0"/>
        <w:rPr>
          <w:rFonts w:ascii="Times New Roman" w:hAnsi="Times New Roman" w:cs="Times New Roman"/>
          <w:sz w:val="24"/>
          <w:szCs w:val="24"/>
          <w:lang w:val="en-GB"/>
        </w:rPr>
      </w:pPr>
    </w:p>
    <w:p w14:paraId="46EF20E5" w14:textId="77777777" w:rsidR="0038441A" w:rsidRPr="00497A81" w:rsidRDefault="0038441A" w:rsidP="0038441A">
      <w:pPr>
        <w:spacing w:after="0"/>
        <w:rPr>
          <w:rFonts w:ascii="Times New Roman" w:hAnsi="Times New Roman" w:cs="Times New Roman"/>
          <w:sz w:val="24"/>
          <w:szCs w:val="24"/>
          <w:lang w:val="en-GB"/>
        </w:rPr>
      </w:pPr>
    </w:p>
    <w:p w14:paraId="5ECDC93B" w14:textId="09E76923" w:rsidR="001220B9" w:rsidRPr="00497A81" w:rsidRDefault="001220B9"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497A81">
        <w:rPr>
          <w:rFonts w:ascii="Times New Roman" w:eastAsia="Times New Roman" w:hAnsi="Times New Roman" w:cs="Times New Roman"/>
          <w:b/>
          <w:color w:val="000000"/>
          <w:sz w:val="24"/>
          <w:szCs w:val="24"/>
          <w:shd w:val="clear" w:color="auto" w:fill="FFFFFF"/>
          <w:lang w:val="en-GB" w:eastAsia="de-DE"/>
        </w:rPr>
        <w:t>II. Investor</w:t>
      </w:r>
      <w:r w:rsidR="001501B1" w:rsidRPr="00497A81">
        <w:rPr>
          <w:rFonts w:ascii="Times New Roman" w:eastAsia="Times New Roman" w:hAnsi="Times New Roman" w:cs="Times New Roman"/>
          <w:b/>
          <w:color w:val="000000"/>
          <w:sz w:val="24"/>
          <w:szCs w:val="24"/>
          <w:shd w:val="clear" w:color="auto" w:fill="FFFFFF"/>
          <w:lang w:val="en-GB" w:eastAsia="de-DE"/>
        </w:rPr>
        <w:t>-</w:t>
      </w:r>
      <w:r w:rsidRPr="00497A81">
        <w:rPr>
          <w:rFonts w:ascii="Times New Roman" w:eastAsia="Times New Roman" w:hAnsi="Times New Roman" w:cs="Times New Roman"/>
          <w:b/>
          <w:color w:val="000000"/>
          <w:sz w:val="24"/>
          <w:szCs w:val="24"/>
          <w:shd w:val="clear" w:color="auto" w:fill="FFFFFF"/>
          <w:lang w:val="en-GB" w:eastAsia="de-DE"/>
        </w:rPr>
        <w:t>Consumer or Overall Welfare</w:t>
      </w:r>
      <w:r w:rsidR="001501B1" w:rsidRPr="00497A81">
        <w:rPr>
          <w:rFonts w:ascii="Times New Roman" w:eastAsia="Times New Roman" w:hAnsi="Times New Roman" w:cs="Times New Roman"/>
          <w:b/>
          <w:color w:val="000000"/>
          <w:sz w:val="24"/>
          <w:szCs w:val="24"/>
          <w:shd w:val="clear" w:color="auto" w:fill="FFFFFF"/>
          <w:lang w:val="en-GB" w:eastAsia="de-DE"/>
        </w:rPr>
        <w:t>, This is the Question</w:t>
      </w:r>
    </w:p>
    <w:p w14:paraId="17ADD226" w14:textId="77777777" w:rsidR="0038441A" w:rsidRPr="00497A81" w:rsidRDefault="0038441A"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0263BCFF" w14:textId="77777777" w:rsidR="0038441A" w:rsidRPr="00497A81" w:rsidRDefault="0038441A" w:rsidP="0038441A">
      <w:pPr>
        <w:spacing w:after="0" w:line="240" w:lineRule="auto"/>
        <w:jc w:val="both"/>
        <w:rPr>
          <w:rFonts w:ascii="Times New Roman" w:eastAsia="Times New Roman" w:hAnsi="Times New Roman" w:cs="Times New Roman"/>
          <w:b/>
          <w:color w:val="000000"/>
          <w:sz w:val="24"/>
          <w:szCs w:val="24"/>
          <w:shd w:val="clear" w:color="auto" w:fill="FFFFFF"/>
          <w:lang w:val="en-GB" w:eastAsia="de-DE"/>
        </w:rPr>
      </w:pPr>
      <w:r w:rsidRPr="00497A81">
        <w:rPr>
          <w:rFonts w:ascii="Times New Roman" w:eastAsia="Times New Roman" w:hAnsi="Times New Roman" w:cs="Times New Roman"/>
          <w:b/>
          <w:color w:val="000000"/>
          <w:sz w:val="24"/>
          <w:szCs w:val="24"/>
          <w:shd w:val="clear" w:color="auto" w:fill="FFFFFF"/>
          <w:lang w:val="en-GB" w:eastAsia="de-DE"/>
        </w:rPr>
        <w:t>1. The Investment Contract – Pivotal for Financ</w:t>
      </w:r>
      <w:r w:rsidR="0084626F" w:rsidRPr="00497A81">
        <w:rPr>
          <w:rFonts w:ascii="Times New Roman" w:eastAsia="Times New Roman" w:hAnsi="Times New Roman" w:cs="Times New Roman"/>
          <w:b/>
          <w:color w:val="000000"/>
          <w:sz w:val="24"/>
          <w:szCs w:val="24"/>
          <w:shd w:val="clear" w:color="auto" w:fill="FFFFFF"/>
          <w:lang w:val="en-GB" w:eastAsia="de-DE"/>
        </w:rPr>
        <w:t>ial Law Reform, the Definition of</w:t>
      </w:r>
      <w:r w:rsidRPr="00497A81">
        <w:rPr>
          <w:rFonts w:ascii="Times New Roman" w:eastAsia="Times New Roman" w:hAnsi="Times New Roman" w:cs="Times New Roman"/>
          <w:b/>
          <w:color w:val="000000"/>
          <w:sz w:val="24"/>
          <w:szCs w:val="24"/>
          <w:shd w:val="clear" w:color="auto" w:fill="FFFFFF"/>
          <w:lang w:val="en-GB" w:eastAsia="de-DE"/>
        </w:rPr>
        <w:t xml:space="preserve"> Principal Goals and the Idea of Governance</w:t>
      </w:r>
    </w:p>
    <w:p w14:paraId="47563729" w14:textId="77777777" w:rsidR="0038441A" w:rsidRPr="00497A81" w:rsidRDefault="0038441A"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518F0666" w14:textId="77777777" w:rsidR="0038441A" w:rsidRPr="00497A81" w:rsidRDefault="002D1E77" w:rsidP="0038441A">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The investment contract happens to be the subject of what is probably the most fundamental reform in financial services contract law in the aftermath of the global financial crisis – the transition from MiFID I to MiFID II. Therefore, the considerations in the more concrete sections below (III</w:t>
      </w:r>
      <w:r w:rsidR="001B6195"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-V</w:t>
      </w:r>
      <w:r w:rsidR="001B6195" w:rsidRPr="00497A81">
        <w:rPr>
          <w:rFonts w:ascii="Times New Roman" w:eastAsia="Times New Roman" w:hAnsi="Times New Roman" w:cs="Times New Roman"/>
          <w:color w:val="000000"/>
          <w:sz w:val="24"/>
          <w:szCs w:val="24"/>
          <w:shd w:val="clear" w:color="auto" w:fill="FFFFFF"/>
          <w:lang w:val="en-GB" w:eastAsia="de-DE"/>
        </w:rPr>
        <w:t>.</w:t>
      </w:r>
      <w:r w:rsidR="0084626F" w:rsidRPr="00497A81">
        <w:rPr>
          <w:rFonts w:ascii="Times New Roman" w:eastAsia="Times New Roman" w:hAnsi="Times New Roman" w:cs="Times New Roman"/>
          <w:color w:val="000000"/>
          <w:sz w:val="24"/>
          <w:szCs w:val="24"/>
          <w:shd w:val="clear" w:color="auto" w:fill="FFFFFF"/>
          <w:lang w:val="en-GB" w:eastAsia="de-DE"/>
        </w:rPr>
        <w:t>) will focus in good part on</w:t>
      </w:r>
      <w:r w:rsidRPr="00497A81">
        <w:rPr>
          <w:rFonts w:ascii="Times New Roman" w:eastAsia="Times New Roman" w:hAnsi="Times New Roman" w:cs="Times New Roman"/>
          <w:color w:val="000000"/>
          <w:sz w:val="24"/>
          <w:szCs w:val="24"/>
          <w:shd w:val="clear" w:color="auto" w:fill="FFFFFF"/>
          <w:lang w:val="en-GB" w:eastAsia="de-DE"/>
        </w:rPr>
        <w:t xml:space="preserve"> that regime and the reform steps taken</w:t>
      </w:r>
      <w:r w:rsidR="00C60652" w:rsidRPr="00497A81">
        <w:rPr>
          <w:rFonts w:ascii="Times New Roman" w:eastAsia="Times New Roman" w:hAnsi="Times New Roman" w:cs="Times New Roman"/>
          <w:color w:val="000000"/>
          <w:sz w:val="24"/>
          <w:szCs w:val="24"/>
          <w:shd w:val="clear" w:color="auto" w:fill="FFFFFF"/>
          <w:lang w:val="en-GB" w:eastAsia="de-DE"/>
        </w:rPr>
        <w:t xml:space="preserve"> there</w:t>
      </w:r>
      <w:r w:rsidRPr="00497A81">
        <w:rPr>
          <w:rFonts w:ascii="Times New Roman" w:eastAsia="Times New Roman" w:hAnsi="Times New Roman" w:cs="Times New Roman"/>
          <w:color w:val="000000"/>
          <w:sz w:val="24"/>
          <w:szCs w:val="24"/>
          <w:shd w:val="clear" w:color="auto" w:fill="FFFFFF"/>
          <w:lang w:val="en-GB" w:eastAsia="de-DE"/>
        </w:rPr>
        <w:t xml:space="preserve">. </w:t>
      </w:r>
    </w:p>
    <w:p w14:paraId="76F5541D" w14:textId="5A0D2B61" w:rsidR="001220B9" w:rsidRPr="00497A81" w:rsidRDefault="002D1E77" w:rsidP="0038441A">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The investment contract is, however, also highly interesting from the point of view of theoretical foundations of this </w:t>
      </w:r>
      <w:r w:rsidR="005873F2">
        <w:rPr>
          <w:rFonts w:ascii="Times New Roman" w:eastAsia="Times New Roman" w:hAnsi="Times New Roman" w:cs="Times New Roman"/>
          <w:color w:val="000000"/>
          <w:sz w:val="24"/>
          <w:szCs w:val="24"/>
          <w:shd w:val="clear" w:color="auto" w:fill="FFFFFF"/>
          <w:lang w:val="en-GB" w:eastAsia="de-DE"/>
        </w:rPr>
        <w:t>article</w:t>
      </w:r>
      <w:r w:rsidRPr="00497A81">
        <w:rPr>
          <w:rFonts w:ascii="Times New Roman" w:eastAsia="Times New Roman" w:hAnsi="Times New Roman" w:cs="Times New Roman"/>
          <w:color w:val="000000"/>
          <w:sz w:val="24"/>
          <w:szCs w:val="24"/>
          <w:shd w:val="clear" w:color="auto" w:fill="FFFFFF"/>
          <w:lang w:val="en-GB" w:eastAsia="de-DE"/>
        </w:rPr>
        <w:t xml:space="preserve">, as it is the contract which sits right at the cross-road between choice on markets and choice within firms. The former is typically related to </w:t>
      </w:r>
      <w:r w:rsidRPr="00497A81">
        <w:rPr>
          <w:rFonts w:ascii="Times New Roman" w:eastAsia="Times New Roman" w:hAnsi="Times New Roman" w:cs="Times New Roman"/>
          <w:color w:val="000000"/>
          <w:sz w:val="24"/>
          <w:szCs w:val="24"/>
          <w:shd w:val="clear" w:color="auto" w:fill="FFFFFF"/>
          <w:lang w:val="en-GB" w:eastAsia="de-DE"/>
        </w:rPr>
        <w:lastRenderedPageBreak/>
        <w:t xml:space="preserve">consumers </w:t>
      </w:r>
      <w:r w:rsidR="0084626F" w:rsidRPr="00497A81">
        <w:rPr>
          <w:rFonts w:ascii="Times New Roman" w:eastAsia="Times New Roman" w:hAnsi="Times New Roman" w:cs="Times New Roman"/>
          <w:color w:val="000000"/>
          <w:sz w:val="24"/>
          <w:szCs w:val="24"/>
          <w:shd w:val="clear" w:color="auto" w:fill="FFFFFF"/>
          <w:lang w:val="en-GB" w:eastAsia="de-DE"/>
        </w:rPr>
        <w:t xml:space="preserve">or clients </w:t>
      </w:r>
      <w:r w:rsidRPr="00497A81">
        <w:rPr>
          <w:rFonts w:ascii="Times New Roman" w:eastAsia="Times New Roman" w:hAnsi="Times New Roman" w:cs="Times New Roman"/>
          <w:color w:val="000000"/>
          <w:sz w:val="24"/>
          <w:szCs w:val="24"/>
          <w:shd w:val="clear" w:color="auto" w:fill="FFFFFF"/>
          <w:lang w:val="en-GB" w:eastAsia="de-DE"/>
        </w:rPr>
        <w:t xml:space="preserve">as decision </w:t>
      </w:r>
      <w:r w:rsidR="00AE2D43" w:rsidRPr="00497A81">
        <w:rPr>
          <w:rFonts w:ascii="Times New Roman" w:eastAsia="Times New Roman" w:hAnsi="Times New Roman" w:cs="Times New Roman"/>
          <w:color w:val="000000"/>
          <w:sz w:val="24"/>
          <w:szCs w:val="24"/>
          <w:shd w:val="clear" w:color="auto" w:fill="FFFFFF"/>
          <w:lang w:val="en-GB" w:eastAsia="de-DE"/>
        </w:rPr>
        <w:t>makers</w:t>
      </w:r>
      <w:r w:rsidRPr="00497A81">
        <w:rPr>
          <w:rFonts w:ascii="Times New Roman" w:eastAsia="Times New Roman" w:hAnsi="Times New Roman" w:cs="Times New Roman"/>
          <w:color w:val="000000"/>
          <w:sz w:val="24"/>
          <w:szCs w:val="24"/>
          <w:shd w:val="clear" w:color="auto" w:fill="FFFFFF"/>
          <w:lang w:val="en-GB" w:eastAsia="de-DE"/>
        </w:rPr>
        <w:t xml:space="preserve">, the latter to shareholders as decision </w:t>
      </w:r>
      <w:r w:rsidR="00AE2D43" w:rsidRPr="00497A81">
        <w:rPr>
          <w:rFonts w:ascii="Times New Roman" w:eastAsia="Times New Roman" w:hAnsi="Times New Roman" w:cs="Times New Roman"/>
          <w:color w:val="000000"/>
          <w:sz w:val="24"/>
          <w:szCs w:val="24"/>
          <w:shd w:val="clear" w:color="auto" w:fill="FFFFFF"/>
          <w:lang w:val="en-GB" w:eastAsia="de-DE"/>
        </w:rPr>
        <w:t xml:space="preserve">makers </w:t>
      </w:r>
      <w:r w:rsidRPr="00497A81">
        <w:rPr>
          <w:rFonts w:ascii="Times New Roman" w:eastAsia="Times New Roman" w:hAnsi="Times New Roman" w:cs="Times New Roman"/>
          <w:color w:val="000000"/>
          <w:sz w:val="24"/>
          <w:szCs w:val="24"/>
          <w:shd w:val="clear" w:color="auto" w:fill="FFFFFF"/>
          <w:lang w:val="en-GB" w:eastAsia="de-DE"/>
        </w:rPr>
        <w:t xml:space="preserve">– always, of course, </w:t>
      </w:r>
      <w:r w:rsidR="0038441A" w:rsidRPr="00497A81">
        <w:rPr>
          <w:rFonts w:ascii="Times New Roman" w:eastAsia="Times New Roman" w:hAnsi="Times New Roman" w:cs="Times New Roman"/>
          <w:color w:val="000000"/>
          <w:sz w:val="24"/>
          <w:szCs w:val="24"/>
          <w:shd w:val="clear" w:color="auto" w:fill="FFFFFF"/>
          <w:lang w:val="en-GB" w:eastAsia="de-DE"/>
        </w:rPr>
        <w:t xml:space="preserve">in an interplay </w:t>
      </w:r>
      <w:r w:rsidRPr="00497A81">
        <w:rPr>
          <w:rFonts w:ascii="Times New Roman" w:eastAsia="Times New Roman" w:hAnsi="Times New Roman" w:cs="Times New Roman"/>
          <w:color w:val="000000"/>
          <w:sz w:val="24"/>
          <w:szCs w:val="24"/>
          <w:shd w:val="clear" w:color="auto" w:fill="FFFFFF"/>
          <w:lang w:val="en-GB" w:eastAsia="de-DE"/>
        </w:rPr>
        <w:t>with their counterparts who typically are the same</w:t>
      </w:r>
      <w:r w:rsidR="0084626F" w:rsidRPr="00497A81">
        <w:rPr>
          <w:rFonts w:ascii="Times New Roman" w:eastAsia="Times New Roman" w:hAnsi="Times New Roman" w:cs="Times New Roman"/>
          <w:color w:val="000000"/>
          <w:sz w:val="24"/>
          <w:szCs w:val="24"/>
          <w:shd w:val="clear" w:color="auto" w:fill="FFFFFF"/>
          <w:lang w:val="en-GB" w:eastAsia="de-DE"/>
        </w:rPr>
        <w:t xml:space="preserve"> ones</w:t>
      </w:r>
      <w:r w:rsidRPr="00497A81">
        <w:rPr>
          <w:rFonts w:ascii="Times New Roman" w:eastAsia="Times New Roman" w:hAnsi="Times New Roman" w:cs="Times New Roman"/>
          <w:color w:val="000000"/>
          <w:sz w:val="24"/>
          <w:szCs w:val="24"/>
          <w:shd w:val="clear" w:color="auto" w:fill="FFFFFF"/>
          <w:lang w:val="en-GB" w:eastAsia="de-DE"/>
        </w:rPr>
        <w:t xml:space="preserve">: </w:t>
      </w:r>
      <w:r w:rsidR="00AE2D43" w:rsidRPr="00497A81">
        <w:rPr>
          <w:rFonts w:ascii="Times New Roman" w:eastAsia="Times New Roman" w:hAnsi="Times New Roman" w:cs="Times New Roman"/>
          <w:color w:val="000000"/>
          <w:sz w:val="24"/>
          <w:szCs w:val="24"/>
          <w:shd w:val="clear" w:color="auto" w:fill="FFFFFF"/>
          <w:lang w:val="en-GB" w:eastAsia="de-DE"/>
        </w:rPr>
        <w:t>entrepreneurs</w:t>
      </w:r>
      <w:r w:rsidR="00AE2D43"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7"/>
      </w:r>
      <w:r w:rsidRPr="00497A81">
        <w:rPr>
          <w:rFonts w:ascii="Times New Roman" w:eastAsia="Times New Roman" w:hAnsi="Times New Roman" w:cs="Times New Roman"/>
          <w:color w:val="000000"/>
          <w:sz w:val="24"/>
          <w:szCs w:val="24"/>
          <w:shd w:val="clear" w:color="auto" w:fill="FFFFFF"/>
          <w:lang w:val="en-GB" w:eastAsia="de-DE"/>
        </w:rPr>
        <w:t xml:space="preserve"> who act as suppliers on markets</w:t>
      </w:r>
      <w:r w:rsidR="0038441A" w:rsidRPr="00497A81">
        <w:rPr>
          <w:rFonts w:ascii="Times New Roman" w:eastAsia="Times New Roman" w:hAnsi="Times New Roman" w:cs="Times New Roman"/>
          <w:color w:val="000000"/>
          <w:sz w:val="24"/>
          <w:szCs w:val="24"/>
          <w:shd w:val="clear" w:color="auto" w:fill="FFFFFF"/>
          <w:lang w:val="en-GB" w:eastAsia="de-DE"/>
        </w:rPr>
        <w:t>, albeit via delegation to employees in the firm,</w:t>
      </w:r>
      <w:r w:rsidRPr="00497A81">
        <w:rPr>
          <w:rFonts w:ascii="Times New Roman" w:eastAsia="Times New Roman" w:hAnsi="Times New Roman" w:cs="Times New Roman"/>
          <w:color w:val="000000"/>
          <w:sz w:val="24"/>
          <w:szCs w:val="24"/>
          <w:shd w:val="clear" w:color="auto" w:fill="FFFFFF"/>
          <w:lang w:val="en-GB" w:eastAsia="de-DE"/>
        </w:rPr>
        <w:t xml:space="preserve"> and as</w:t>
      </w:r>
      <w:r w:rsidR="0038441A" w:rsidRPr="00497A81">
        <w:rPr>
          <w:rFonts w:ascii="Times New Roman" w:eastAsia="Times New Roman" w:hAnsi="Times New Roman" w:cs="Times New Roman"/>
          <w:color w:val="000000"/>
          <w:sz w:val="24"/>
          <w:szCs w:val="24"/>
          <w:shd w:val="clear" w:color="auto" w:fill="FFFFFF"/>
          <w:lang w:val="en-GB" w:eastAsia="de-DE"/>
        </w:rPr>
        <w:t xml:space="preserve"> managers of the firm, again often also via delegation. One very foundational question – taken up below in section 2. – would seem to follow from this: Is it </w:t>
      </w:r>
      <w:r w:rsidR="0084626F" w:rsidRPr="00497A81">
        <w:rPr>
          <w:rFonts w:ascii="Times New Roman" w:eastAsia="Times New Roman" w:hAnsi="Times New Roman" w:cs="Times New Roman"/>
          <w:color w:val="000000"/>
          <w:sz w:val="24"/>
          <w:szCs w:val="24"/>
          <w:shd w:val="clear" w:color="auto" w:fill="FFFFFF"/>
          <w:lang w:val="en-GB" w:eastAsia="de-DE"/>
        </w:rPr>
        <w:t>convincing</w:t>
      </w:r>
      <w:r w:rsidR="0038441A" w:rsidRPr="00497A81">
        <w:rPr>
          <w:rFonts w:ascii="Times New Roman" w:eastAsia="Times New Roman" w:hAnsi="Times New Roman" w:cs="Times New Roman"/>
          <w:color w:val="000000"/>
          <w:sz w:val="24"/>
          <w:szCs w:val="24"/>
          <w:shd w:val="clear" w:color="auto" w:fill="FFFFFF"/>
          <w:lang w:val="en-GB" w:eastAsia="de-DE"/>
        </w:rPr>
        <w:t xml:space="preserve"> at all that shareholders are conceived as principals in the mainstream economic theory on decision </w:t>
      </w:r>
      <w:r w:rsidR="004103F5" w:rsidRPr="00497A81">
        <w:rPr>
          <w:rFonts w:ascii="Times New Roman" w:eastAsia="Times New Roman" w:hAnsi="Times New Roman" w:cs="Times New Roman"/>
          <w:color w:val="000000"/>
          <w:sz w:val="24"/>
          <w:szCs w:val="24"/>
          <w:shd w:val="clear" w:color="auto" w:fill="FFFFFF"/>
          <w:lang w:val="en-GB" w:eastAsia="de-DE"/>
        </w:rPr>
        <w:t>making</w:t>
      </w:r>
      <w:r w:rsidR="0038441A" w:rsidRPr="00497A81">
        <w:rPr>
          <w:rFonts w:ascii="Times New Roman" w:eastAsia="Times New Roman" w:hAnsi="Times New Roman" w:cs="Times New Roman"/>
          <w:color w:val="000000"/>
          <w:sz w:val="24"/>
          <w:szCs w:val="24"/>
          <w:shd w:val="clear" w:color="auto" w:fill="FFFFFF"/>
          <w:lang w:val="en-GB" w:eastAsia="de-DE"/>
        </w:rPr>
        <w:t xml:space="preserve"> in firms, while consumers are not, at least would seem to be not in  mainstream economic theory on decision </w:t>
      </w:r>
      <w:r w:rsidR="004103F5" w:rsidRPr="00497A81">
        <w:rPr>
          <w:rFonts w:ascii="Times New Roman" w:eastAsia="Times New Roman" w:hAnsi="Times New Roman" w:cs="Times New Roman"/>
          <w:color w:val="000000"/>
          <w:sz w:val="24"/>
          <w:szCs w:val="24"/>
          <w:shd w:val="clear" w:color="auto" w:fill="FFFFFF"/>
          <w:lang w:val="en-GB" w:eastAsia="de-DE"/>
        </w:rPr>
        <w:t>making</w:t>
      </w:r>
      <w:r w:rsidR="0038441A" w:rsidRPr="00497A81">
        <w:rPr>
          <w:rFonts w:ascii="Times New Roman" w:eastAsia="Times New Roman" w:hAnsi="Times New Roman" w:cs="Times New Roman"/>
          <w:color w:val="000000"/>
          <w:sz w:val="24"/>
          <w:szCs w:val="24"/>
          <w:shd w:val="clear" w:color="auto" w:fill="FFFFFF"/>
          <w:lang w:val="en-GB" w:eastAsia="de-DE"/>
        </w:rPr>
        <w:t xml:space="preserve"> on markets? </w:t>
      </w:r>
    </w:p>
    <w:p w14:paraId="3CA8CD4E" w14:textId="3F18E3DD" w:rsidR="00287D4B" w:rsidRPr="00DA09BA" w:rsidRDefault="0084626F" w:rsidP="00287D4B">
      <w:pPr>
        <w:spacing w:after="120" w:line="240" w:lineRule="auto"/>
        <w:jc w:val="both"/>
        <w:rPr>
          <w:rFonts w:ascii="Times New Roman" w:eastAsia="Times New Roman" w:hAnsi="Times New Roman" w:cs="Times New Roman"/>
          <w:i/>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Befor</w:t>
      </w:r>
      <w:r w:rsidR="00287D4B" w:rsidRPr="00497A81">
        <w:rPr>
          <w:rFonts w:ascii="Times New Roman" w:eastAsia="Times New Roman" w:hAnsi="Times New Roman" w:cs="Times New Roman"/>
          <w:color w:val="000000"/>
          <w:sz w:val="24"/>
          <w:szCs w:val="24"/>
          <w:shd w:val="clear" w:color="auto" w:fill="FFFFFF"/>
          <w:lang w:val="en-GB" w:eastAsia="de-DE"/>
        </w:rPr>
        <w:t>e we approach this question</w:t>
      </w:r>
      <w:r w:rsidRPr="00497A81">
        <w:rPr>
          <w:rFonts w:ascii="Times New Roman" w:eastAsia="Times New Roman" w:hAnsi="Times New Roman" w:cs="Times New Roman"/>
          <w:color w:val="000000"/>
          <w:sz w:val="24"/>
          <w:szCs w:val="24"/>
          <w:shd w:val="clear" w:color="auto" w:fill="FFFFFF"/>
          <w:lang w:val="en-GB" w:eastAsia="de-DE"/>
        </w:rPr>
        <w:t xml:space="preserve"> – whether such a difference in conception of the role of directors </w:t>
      </w:r>
      <w:r w:rsidR="00287D4B" w:rsidRPr="00497A81">
        <w:rPr>
          <w:rFonts w:ascii="Times New Roman" w:eastAsia="Times New Roman" w:hAnsi="Times New Roman" w:cs="Times New Roman"/>
          <w:color w:val="000000"/>
          <w:sz w:val="24"/>
          <w:szCs w:val="24"/>
          <w:shd w:val="clear" w:color="auto" w:fill="FFFFFF"/>
          <w:lang w:val="en-GB" w:eastAsia="de-DE"/>
        </w:rPr>
        <w:t xml:space="preserve">when they transact with shareholders/investors and with clients/consumers does not lack consistence – one last point about the investment contract needs to be reminded: This contract is as well at the heart of what can be seen as the key architectural feature of corporate governance debate, i.e. that debate which is the paradigm of a genuine and intimate collaboration of law and economics in the centre of business law. It is the investment contract – also in the form of mass investment in takeovers, changing the control structure in the target company – which forms the strongest link between so-called internal and external corporate governance. </w:t>
      </w:r>
      <w:r w:rsidR="007B6C5C" w:rsidRPr="00497A81">
        <w:rPr>
          <w:rFonts w:ascii="Times New Roman" w:eastAsia="Times New Roman" w:hAnsi="Times New Roman" w:cs="Times New Roman"/>
          <w:color w:val="000000"/>
          <w:sz w:val="24"/>
          <w:szCs w:val="24"/>
          <w:shd w:val="clear" w:color="auto" w:fill="FFFFFF"/>
          <w:lang w:val="en-GB" w:eastAsia="de-DE"/>
        </w:rPr>
        <w:t>Internal governance</w:t>
      </w:r>
      <w:r w:rsidR="00287D4B" w:rsidRPr="00497A81">
        <w:rPr>
          <w:rFonts w:ascii="Times New Roman" w:eastAsia="Times New Roman" w:hAnsi="Times New Roman" w:cs="Times New Roman"/>
          <w:color w:val="000000"/>
          <w:sz w:val="24"/>
          <w:szCs w:val="24"/>
          <w:shd w:val="clear" w:color="auto" w:fill="FFFFFF"/>
          <w:lang w:val="en-GB" w:eastAsia="de-DE"/>
        </w:rPr>
        <w:t xml:space="preserve"> is about positive influence on managers’ decision </w:t>
      </w:r>
      <w:r w:rsidR="004103F5" w:rsidRPr="00497A81">
        <w:rPr>
          <w:rFonts w:ascii="Times New Roman" w:eastAsia="Times New Roman" w:hAnsi="Times New Roman" w:cs="Times New Roman"/>
          <w:color w:val="000000"/>
          <w:sz w:val="24"/>
          <w:szCs w:val="24"/>
          <w:shd w:val="clear" w:color="auto" w:fill="FFFFFF"/>
          <w:lang w:val="en-GB" w:eastAsia="de-DE"/>
        </w:rPr>
        <w:t>making</w:t>
      </w:r>
      <w:r w:rsidR="00287D4B" w:rsidRPr="00497A81">
        <w:rPr>
          <w:rFonts w:ascii="Times New Roman" w:eastAsia="Times New Roman" w:hAnsi="Times New Roman" w:cs="Times New Roman"/>
          <w:color w:val="000000"/>
          <w:sz w:val="24"/>
          <w:szCs w:val="24"/>
          <w:shd w:val="clear" w:color="auto" w:fill="FFFFFF"/>
          <w:lang w:val="en-GB" w:eastAsia="de-DE"/>
        </w:rPr>
        <w:t xml:space="preserve"> via instruments of internal organisation (such as voting power, liability, checks and balances between different organs etc.), while </w:t>
      </w:r>
      <w:r w:rsidR="007B6C5C" w:rsidRPr="00497A81">
        <w:rPr>
          <w:rFonts w:ascii="Times New Roman" w:eastAsia="Times New Roman" w:hAnsi="Times New Roman" w:cs="Times New Roman"/>
          <w:color w:val="000000"/>
          <w:sz w:val="24"/>
          <w:szCs w:val="24"/>
          <w:shd w:val="clear" w:color="auto" w:fill="FFFFFF"/>
          <w:lang w:val="en-GB" w:eastAsia="de-DE"/>
        </w:rPr>
        <w:t>external governance</w:t>
      </w:r>
      <w:r w:rsidR="00287D4B" w:rsidRPr="00497A81">
        <w:rPr>
          <w:rFonts w:ascii="Times New Roman" w:eastAsia="Times New Roman" w:hAnsi="Times New Roman" w:cs="Times New Roman"/>
          <w:color w:val="000000"/>
          <w:sz w:val="24"/>
          <w:szCs w:val="24"/>
          <w:shd w:val="clear" w:color="auto" w:fill="FFFFFF"/>
          <w:lang w:val="en-GB" w:eastAsia="de-DE"/>
        </w:rPr>
        <w:t xml:space="preserve"> is about the positive influence from outside, namely via market transactions, and the combination of both is to be optimized.</w:t>
      </w:r>
      <w:r w:rsidR="00287D4B"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8"/>
      </w:r>
      <w:r w:rsidR="003E7CE2" w:rsidRPr="00497A81">
        <w:rPr>
          <w:rFonts w:ascii="Times New Roman" w:eastAsia="Times New Roman" w:hAnsi="Times New Roman" w:cs="Times New Roman"/>
          <w:color w:val="000000"/>
          <w:sz w:val="24"/>
          <w:szCs w:val="24"/>
          <w:shd w:val="clear" w:color="auto" w:fill="FFFFFF"/>
          <w:lang w:val="en-GB" w:eastAsia="de-DE"/>
        </w:rPr>
        <w:t xml:space="preserve"> Between internal and external governance, t</w:t>
      </w:r>
      <w:r w:rsidR="00287D4B" w:rsidRPr="00497A81">
        <w:rPr>
          <w:rFonts w:ascii="Times New Roman" w:eastAsia="Times New Roman" w:hAnsi="Times New Roman" w:cs="Times New Roman"/>
          <w:color w:val="000000"/>
          <w:sz w:val="24"/>
          <w:szCs w:val="24"/>
          <w:shd w:val="clear" w:color="auto" w:fill="FFFFFF"/>
          <w:lang w:val="en-GB" w:eastAsia="de-DE"/>
        </w:rPr>
        <w:t>he investment contract and – when the transactions are so numerous that the</w:t>
      </w:r>
      <w:r w:rsidR="003E7CE2" w:rsidRPr="00497A81">
        <w:rPr>
          <w:rFonts w:ascii="Times New Roman" w:eastAsia="Times New Roman" w:hAnsi="Times New Roman" w:cs="Times New Roman"/>
          <w:color w:val="000000"/>
          <w:sz w:val="24"/>
          <w:szCs w:val="24"/>
          <w:shd w:val="clear" w:color="auto" w:fill="FFFFFF"/>
          <w:lang w:val="en-GB" w:eastAsia="de-DE"/>
        </w:rPr>
        <w:t>y</w:t>
      </w:r>
      <w:r w:rsidR="00287D4B" w:rsidRPr="00497A81">
        <w:rPr>
          <w:rFonts w:ascii="Times New Roman" w:eastAsia="Times New Roman" w:hAnsi="Times New Roman" w:cs="Times New Roman"/>
          <w:color w:val="000000"/>
          <w:sz w:val="24"/>
          <w:szCs w:val="24"/>
          <w:shd w:val="clear" w:color="auto" w:fill="FFFFFF"/>
          <w:lang w:val="en-GB" w:eastAsia="de-DE"/>
        </w:rPr>
        <w:t xml:space="preserve"> trigger a change of control – the takeover </w:t>
      </w:r>
      <w:r w:rsidR="003E7CE2" w:rsidRPr="00497A81">
        <w:rPr>
          <w:rFonts w:ascii="Times New Roman" w:eastAsia="Times New Roman" w:hAnsi="Times New Roman" w:cs="Times New Roman"/>
          <w:color w:val="000000"/>
          <w:sz w:val="24"/>
          <w:szCs w:val="24"/>
          <w:shd w:val="clear" w:color="auto" w:fill="FFFFFF"/>
          <w:lang w:val="en-GB" w:eastAsia="de-DE"/>
        </w:rPr>
        <w:t>form probably the strongest link</w:t>
      </w:r>
      <w:r w:rsidR="00287D4B" w:rsidRPr="00497A81">
        <w:rPr>
          <w:rFonts w:ascii="Times New Roman" w:eastAsia="Times New Roman" w:hAnsi="Times New Roman" w:cs="Times New Roman"/>
          <w:color w:val="000000"/>
          <w:sz w:val="24"/>
          <w:szCs w:val="24"/>
          <w:shd w:val="clear" w:color="auto" w:fill="FFFFFF"/>
          <w:lang w:val="en-GB" w:eastAsia="de-DE"/>
        </w:rPr>
        <w:t xml:space="preserve">: They both reside in transactions of shares on markets, </w:t>
      </w:r>
      <w:r w:rsidR="003E7CE2" w:rsidRPr="00497A81">
        <w:rPr>
          <w:rFonts w:ascii="Times New Roman" w:eastAsia="Times New Roman" w:hAnsi="Times New Roman" w:cs="Times New Roman"/>
          <w:color w:val="000000"/>
          <w:sz w:val="24"/>
          <w:szCs w:val="24"/>
          <w:shd w:val="clear" w:color="auto" w:fill="FFFFFF"/>
          <w:lang w:val="en-GB" w:eastAsia="de-DE"/>
        </w:rPr>
        <w:t>but deeply influence</w:t>
      </w:r>
      <w:r w:rsidR="00287D4B" w:rsidRPr="00497A81">
        <w:rPr>
          <w:rFonts w:ascii="Times New Roman" w:eastAsia="Times New Roman" w:hAnsi="Times New Roman" w:cs="Times New Roman"/>
          <w:color w:val="000000"/>
          <w:sz w:val="24"/>
          <w:szCs w:val="24"/>
          <w:shd w:val="clear" w:color="auto" w:fill="FFFFFF"/>
          <w:lang w:val="en-GB" w:eastAsia="de-DE"/>
        </w:rPr>
        <w:t xml:space="preserve"> decision </w:t>
      </w:r>
      <w:r w:rsidR="004103F5" w:rsidRPr="00497A81">
        <w:rPr>
          <w:rFonts w:ascii="Times New Roman" w:eastAsia="Times New Roman" w:hAnsi="Times New Roman" w:cs="Times New Roman"/>
          <w:color w:val="000000"/>
          <w:sz w:val="24"/>
          <w:szCs w:val="24"/>
          <w:shd w:val="clear" w:color="auto" w:fill="FFFFFF"/>
          <w:lang w:val="en-GB" w:eastAsia="de-DE"/>
        </w:rPr>
        <w:t>making</w:t>
      </w:r>
      <w:r w:rsidR="00287D4B" w:rsidRPr="00497A81">
        <w:rPr>
          <w:rFonts w:ascii="Times New Roman" w:eastAsia="Times New Roman" w:hAnsi="Times New Roman" w:cs="Times New Roman"/>
          <w:color w:val="000000"/>
          <w:sz w:val="24"/>
          <w:szCs w:val="24"/>
          <w:shd w:val="clear" w:color="auto" w:fill="FFFFFF"/>
          <w:lang w:val="en-GB" w:eastAsia="de-DE"/>
        </w:rPr>
        <w:t xml:space="preserve"> within the company: because they influence stock prices which then </w:t>
      </w:r>
      <w:r w:rsidR="00C60652" w:rsidRPr="00497A81">
        <w:rPr>
          <w:rFonts w:ascii="Times New Roman" w:eastAsia="Times New Roman" w:hAnsi="Times New Roman" w:cs="Times New Roman"/>
          <w:color w:val="000000"/>
          <w:sz w:val="24"/>
          <w:szCs w:val="24"/>
          <w:shd w:val="clear" w:color="auto" w:fill="FFFFFF"/>
          <w:lang w:val="en-GB" w:eastAsia="de-DE"/>
        </w:rPr>
        <w:t>motivate</w:t>
      </w:r>
      <w:r w:rsidR="00287D4B" w:rsidRPr="00497A81">
        <w:rPr>
          <w:rFonts w:ascii="Times New Roman" w:eastAsia="Times New Roman" w:hAnsi="Times New Roman" w:cs="Times New Roman"/>
          <w:color w:val="000000"/>
          <w:sz w:val="24"/>
          <w:szCs w:val="24"/>
          <w:shd w:val="clear" w:color="auto" w:fill="FFFFFF"/>
          <w:lang w:val="en-GB" w:eastAsia="de-DE"/>
        </w:rPr>
        <w:t xml:space="preserve"> directors in manifold ways (bonuses, prestige, potentially positions on boards etc.) or because, even more directly, they lead to a change of managers, i.e. of the </w:t>
      </w:r>
      <w:r w:rsidR="006A4EFC" w:rsidRPr="00497A81">
        <w:rPr>
          <w:rFonts w:ascii="Times New Roman" w:eastAsia="Times New Roman" w:hAnsi="Times New Roman" w:cs="Times New Roman"/>
          <w:color w:val="000000"/>
          <w:sz w:val="24"/>
          <w:szCs w:val="24"/>
          <w:shd w:val="clear" w:color="auto" w:fill="FFFFFF"/>
          <w:lang w:val="en-GB" w:eastAsia="de-DE"/>
        </w:rPr>
        <w:t>prim</w:t>
      </w:r>
      <w:r w:rsidR="006A4EFC">
        <w:rPr>
          <w:rFonts w:ascii="Times New Roman" w:eastAsia="Times New Roman" w:hAnsi="Times New Roman" w:cs="Times New Roman"/>
          <w:color w:val="000000"/>
          <w:sz w:val="24"/>
          <w:szCs w:val="24"/>
          <w:shd w:val="clear" w:color="auto" w:fill="FFFFFF"/>
          <w:lang w:val="en-GB" w:eastAsia="de-DE"/>
        </w:rPr>
        <w:t>ary</w:t>
      </w:r>
      <w:r w:rsidR="006A4EFC" w:rsidRPr="00497A81">
        <w:rPr>
          <w:rFonts w:ascii="Times New Roman" w:eastAsia="Times New Roman" w:hAnsi="Times New Roman" w:cs="Times New Roman"/>
          <w:color w:val="000000"/>
          <w:sz w:val="24"/>
          <w:szCs w:val="24"/>
          <w:shd w:val="clear" w:color="auto" w:fill="FFFFFF"/>
          <w:lang w:val="en-GB" w:eastAsia="de-DE"/>
        </w:rPr>
        <w:t xml:space="preserve"> </w:t>
      </w:r>
      <w:r w:rsidR="00287D4B" w:rsidRPr="00497A81">
        <w:rPr>
          <w:rFonts w:ascii="Times New Roman" w:eastAsia="Times New Roman" w:hAnsi="Times New Roman" w:cs="Times New Roman"/>
          <w:color w:val="000000"/>
          <w:sz w:val="24"/>
          <w:szCs w:val="24"/>
          <w:shd w:val="clear" w:color="auto" w:fill="FFFFFF"/>
          <w:lang w:val="en-GB" w:eastAsia="de-DE"/>
        </w:rPr>
        <w:t xml:space="preserve">decision </w:t>
      </w:r>
      <w:r w:rsidR="006A4EFC">
        <w:rPr>
          <w:rFonts w:ascii="Times New Roman" w:eastAsia="Times New Roman" w:hAnsi="Times New Roman" w:cs="Times New Roman"/>
          <w:color w:val="000000"/>
          <w:sz w:val="24"/>
          <w:szCs w:val="24"/>
          <w:shd w:val="clear" w:color="auto" w:fill="FFFFFF"/>
          <w:lang w:val="en-GB" w:eastAsia="de-DE"/>
        </w:rPr>
        <w:t>m</w:t>
      </w:r>
      <w:r w:rsidR="006A4EFC" w:rsidRPr="00497A81">
        <w:rPr>
          <w:rFonts w:ascii="Times New Roman" w:eastAsia="Times New Roman" w:hAnsi="Times New Roman" w:cs="Times New Roman"/>
          <w:color w:val="000000"/>
          <w:sz w:val="24"/>
          <w:szCs w:val="24"/>
          <w:shd w:val="clear" w:color="auto" w:fill="FFFFFF"/>
          <w:lang w:val="en-GB" w:eastAsia="de-DE"/>
        </w:rPr>
        <w:t xml:space="preserve">akers </w:t>
      </w:r>
      <w:r w:rsidR="00287D4B" w:rsidRPr="00497A81">
        <w:rPr>
          <w:rFonts w:ascii="Times New Roman" w:eastAsia="Times New Roman" w:hAnsi="Times New Roman" w:cs="Times New Roman"/>
          <w:color w:val="000000"/>
          <w:sz w:val="24"/>
          <w:szCs w:val="24"/>
          <w:shd w:val="clear" w:color="auto" w:fill="FFFFFF"/>
          <w:lang w:val="en-GB" w:eastAsia="de-DE"/>
        </w:rPr>
        <w:t>themselves.</w:t>
      </w:r>
      <w:r w:rsidR="00287D4B"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9"/>
      </w:r>
      <w:r w:rsidR="00287D4B" w:rsidRPr="00497A81">
        <w:rPr>
          <w:rFonts w:ascii="Times New Roman" w:eastAsia="Times New Roman" w:hAnsi="Times New Roman" w:cs="Times New Roman"/>
          <w:color w:val="000000"/>
          <w:sz w:val="24"/>
          <w:szCs w:val="24"/>
          <w:shd w:val="clear" w:color="auto" w:fill="FFFFFF"/>
          <w:lang w:val="en-GB" w:eastAsia="de-DE"/>
        </w:rPr>
        <w:t xml:space="preserve"> </w:t>
      </w:r>
      <w:r w:rsidR="003E7CE2" w:rsidRPr="00497A81">
        <w:rPr>
          <w:rFonts w:ascii="Times New Roman" w:eastAsia="Times New Roman" w:hAnsi="Times New Roman" w:cs="Times New Roman"/>
          <w:color w:val="000000"/>
          <w:sz w:val="24"/>
          <w:szCs w:val="24"/>
          <w:shd w:val="clear" w:color="auto" w:fill="FFFFFF"/>
          <w:lang w:val="en-GB" w:eastAsia="de-DE"/>
        </w:rPr>
        <w:t>H. Manne who first described this link for takeovers and thereby ‘discovered’ the ‘market for corporate control’ succinctly summarizes the main thrust or benefit of these ‘market’ transactions by saying: “</w:t>
      </w:r>
      <w:r w:rsidR="003E7CE2" w:rsidRPr="00497A81">
        <w:rPr>
          <w:rFonts w:ascii="Times New Roman" w:hAnsi="Times New Roman" w:cs="Times New Roman"/>
          <w:sz w:val="24"/>
          <w:szCs w:val="24"/>
          <w:lang w:val="en-GB"/>
        </w:rPr>
        <w:t>But the greatest benefits of the takeover scheme [those market transactions] probably inure to those least conscious of it [the shareholders exposed to management decisions]. Apart from the stock market, we have no objective standard of managerial efficiency</w:t>
      </w:r>
      <w:r w:rsidR="003E7CE2" w:rsidRPr="00497A81">
        <w:rPr>
          <w:rFonts w:ascii="Times New Roman" w:eastAsia="Times New Roman" w:hAnsi="Times New Roman" w:cs="Times New Roman"/>
          <w:color w:val="000000"/>
          <w:sz w:val="24"/>
          <w:szCs w:val="24"/>
          <w:shd w:val="clear" w:color="auto" w:fill="FFFFFF"/>
          <w:lang w:val="en-GB" w:eastAsia="de-DE"/>
        </w:rPr>
        <w:t>”.</w:t>
      </w:r>
      <w:r w:rsidR="003E7CE2"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0"/>
      </w:r>
      <w:r w:rsidR="003E7CE2" w:rsidRPr="00497A81">
        <w:rPr>
          <w:rFonts w:ascii="Times New Roman" w:eastAsia="Times New Roman" w:hAnsi="Times New Roman" w:cs="Times New Roman"/>
          <w:color w:val="000000"/>
          <w:sz w:val="24"/>
          <w:szCs w:val="24"/>
          <w:shd w:val="clear" w:color="auto" w:fill="FFFFFF"/>
          <w:lang w:val="en-GB" w:eastAsia="de-DE"/>
        </w:rPr>
        <w:t xml:space="preserve"> </w:t>
      </w:r>
      <w:r w:rsidR="00287D4B" w:rsidRPr="00497A81">
        <w:rPr>
          <w:rFonts w:ascii="Times New Roman" w:eastAsia="Times New Roman" w:hAnsi="Times New Roman" w:cs="Times New Roman"/>
          <w:color w:val="000000"/>
          <w:sz w:val="24"/>
          <w:szCs w:val="24"/>
          <w:shd w:val="clear" w:color="auto" w:fill="FFFFFF"/>
          <w:lang w:val="en-GB" w:eastAsia="de-DE"/>
        </w:rPr>
        <w:t xml:space="preserve">Thus, </w:t>
      </w:r>
      <w:r w:rsidR="00287D4B" w:rsidRPr="00DE55A7">
        <w:rPr>
          <w:rFonts w:ascii="Times New Roman" w:eastAsia="Times New Roman" w:hAnsi="Times New Roman" w:cs="Times New Roman"/>
          <w:color w:val="000000"/>
          <w:sz w:val="24"/>
          <w:szCs w:val="24"/>
          <w:shd w:val="clear" w:color="auto" w:fill="FFFFFF"/>
          <w:lang w:val="en-GB" w:eastAsia="de-DE"/>
        </w:rPr>
        <w:t>while being based on instruments and while being executed outside the company’s organisation, the</w:t>
      </w:r>
      <w:r w:rsidR="003E7CE2" w:rsidRPr="00DE55A7">
        <w:rPr>
          <w:rFonts w:ascii="Times New Roman" w:eastAsia="Times New Roman" w:hAnsi="Times New Roman" w:cs="Times New Roman"/>
          <w:color w:val="000000"/>
          <w:sz w:val="24"/>
          <w:szCs w:val="24"/>
          <w:shd w:val="clear" w:color="auto" w:fill="FFFFFF"/>
          <w:lang w:val="en-GB" w:eastAsia="de-DE"/>
        </w:rPr>
        <w:t>se instruments</w:t>
      </w:r>
      <w:r w:rsidR="00287D4B" w:rsidRPr="00DE55A7">
        <w:rPr>
          <w:rFonts w:ascii="Times New Roman" w:eastAsia="Times New Roman" w:hAnsi="Times New Roman" w:cs="Times New Roman"/>
          <w:color w:val="000000"/>
          <w:sz w:val="24"/>
          <w:szCs w:val="24"/>
          <w:shd w:val="clear" w:color="auto" w:fill="FFFFFF"/>
          <w:lang w:val="en-GB" w:eastAsia="de-DE"/>
        </w:rPr>
        <w:t xml:space="preserve"> change the internal composition of decision </w:t>
      </w:r>
      <w:r w:rsidR="00520105" w:rsidRPr="00DE55A7">
        <w:rPr>
          <w:rFonts w:ascii="Times New Roman" w:eastAsia="Times New Roman" w:hAnsi="Times New Roman" w:cs="Times New Roman"/>
          <w:color w:val="000000"/>
          <w:sz w:val="24"/>
          <w:szCs w:val="24"/>
          <w:shd w:val="clear" w:color="auto" w:fill="FFFFFF"/>
          <w:lang w:val="en-GB" w:eastAsia="de-DE"/>
        </w:rPr>
        <w:t>makers</w:t>
      </w:r>
      <w:r w:rsidR="00287D4B" w:rsidRPr="00DE55A7">
        <w:rPr>
          <w:rFonts w:ascii="Times New Roman" w:eastAsia="Times New Roman" w:hAnsi="Times New Roman" w:cs="Times New Roman"/>
          <w:color w:val="000000"/>
          <w:sz w:val="24"/>
          <w:szCs w:val="24"/>
          <w:shd w:val="clear" w:color="auto" w:fill="FFFFFF"/>
          <w:lang w:val="en-GB" w:eastAsia="de-DE"/>
        </w:rPr>
        <w:t xml:space="preserve">, the duties within the company (for instance the remuneration) or at least strongly influence decision </w:t>
      </w:r>
      <w:r w:rsidR="004103F5" w:rsidRPr="00DE55A7">
        <w:rPr>
          <w:rFonts w:ascii="Times New Roman" w:eastAsia="Times New Roman" w:hAnsi="Times New Roman" w:cs="Times New Roman"/>
          <w:color w:val="000000"/>
          <w:sz w:val="24"/>
          <w:szCs w:val="24"/>
          <w:shd w:val="clear" w:color="auto" w:fill="FFFFFF"/>
          <w:lang w:val="en-GB" w:eastAsia="de-DE"/>
        </w:rPr>
        <w:t>making</w:t>
      </w:r>
      <w:r w:rsidR="00287D4B" w:rsidRPr="00DE55A7">
        <w:rPr>
          <w:rFonts w:ascii="Times New Roman" w:eastAsia="Times New Roman" w:hAnsi="Times New Roman" w:cs="Times New Roman"/>
          <w:color w:val="000000"/>
          <w:sz w:val="24"/>
          <w:szCs w:val="24"/>
          <w:shd w:val="clear" w:color="auto" w:fill="FFFFFF"/>
          <w:lang w:val="en-GB" w:eastAsia="de-DE"/>
        </w:rPr>
        <w:t xml:space="preserve"> in the company. </w:t>
      </w:r>
    </w:p>
    <w:p w14:paraId="32D8EB0D" w14:textId="02A78E32" w:rsidR="00287D4B" w:rsidRPr="00497A81" w:rsidRDefault="00287D4B" w:rsidP="00287D4B">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DE55A7">
        <w:rPr>
          <w:rFonts w:ascii="Times New Roman" w:eastAsia="Times New Roman" w:hAnsi="Times New Roman" w:cs="Times New Roman"/>
          <w:color w:val="000000"/>
          <w:sz w:val="24"/>
          <w:szCs w:val="24"/>
          <w:shd w:val="clear" w:color="auto" w:fill="FFFFFF"/>
          <w:lang w:val="en-GB" w:eastAsia="de-DE"/>
        </w:rPr>
        <w:t>This strong link between market (transactions</w:t>
      </w:r>
      <w:r w:rsidR="004103F5" w:rsidRPr="00DE55A7">
        <w:rPr>
          <w:rFonts w:ascii="Times New Roman" w:eastAsia="Times New Roman" w:hAnsi="Times New Roman" w:cs="Times New Roman"/>
          <w:color w:val="000000"/>
          <w:sz w:val="24"/>
          <w:szCs w:val="24"/>
          <w:shd w:val="clear" w:color="auto" w:fill="FFFFFF"/>
          <w:lang w:val="en-GB" w:eastAsia="de-DE"/>
        </w:rPr>
        <w:t>/exchanges</w:t>
      </w:r>
      <w:r w:rsidRPr="00DE55A7">
        <w:rPr>
          <w:rFonts w:ascii="Times New Roman" w:eastAsia="Times New Roman" w:hAnsi="Times New Roman" w:cs="Times New Roman"/>
          <w:color w:val="000000"/>
          <w:sz w:val="24"/>
          <w:szCs w:val="24"/>
          <w:shd w:val="clear" w:color="auto" w:fill="FFFFFF"/>
          <w:lang w:val="en-GB" w:eastAsia="de-DE"/>
        </w:rPr>
        <w:t>) and</w:t>
      </w:r>
      <w:r w:rsidRPr="00497A81">
        <w:rPr>
          <w:rFonts w:ascii="Times New Roman" w:eastAsia="Times New Roman" w:hAnsi="Times New Roman" w:cs="Times New Roman"/>
          <w:color w:val="000000"/>
          <w:sz w:val="24"/>
          <w:szCs w:val="24"/>
          <w:shd w:val="clear" w:color="auto" w:fill="FFFFFF"/>
          <w:lang w:val="en-GB" w:eastAsia="de-DE"/>
        </w:rPr>
        <w:t xml:space="preserve"> firm (organisation) is as well the aspect which shall now be taken up with a view to re-visit the foundational question: Is it convincing and consistent at all that shareholders are conceived as principals in mainstream economic theory on decision </w:t>
      </w:r>
      <w:r w:rsidR="004103F5" w:rsidRPr="00497A81">
        <w:rPr>
          <w:rFonts w:ascii="Times New Roman" w:eastAsia="Times New Roman" w:hAnsi="Times New Roman" w:cs="Times New Roman"/>
          <w:color w:val="000000"/>
          <w:sz w:val="24"/>
          <w:szCs w:val="24"/>
          <w:shd w:val="clear" w:color="auto" w:fill="FFFFFF"/>
          <w:lang w:val="en-GB" w:eastAsia="de-DE"/>
        </w:rPr>
        <w:t>making</w:t>
      </w:r>
      <w:r w:rsidRPr="00497A81">
        <w:rPr>
          <w:rFonts w:ascii="Times New Roman" w:eastAsia="Times New Roman" w:hAnsi="Times New Roman" w:cs="Times New Roman"/>
          <w:color w:val="000000"/>
          <w:sz w:val="24"/>
          <w:szCs w:val="24"/>
          <w:shd w:val="clear" w:color="auto" w:fill="FFFFFF"/>
          <w:lang w:val="en-GB" w:eastAsia="de-DE"/>
        </w:rPr>
        <w:t xml:space="preserve"> in firms, while consumers are not, at least would seem to be not in  mainstream economic theory on decision </w:t>
      </w:r>
      <w:r w:rsidR="004103F5" w:rsidRPr="00497A81">
        <w:rPr>
          <w:rFonts w:ascii="Times New Roman" w:eastAsia="Times New Roman" w:hAnsi="Times New Roman" w:cs="Times New Roman"/>
          <w:color w:val="000000"/>
          <w:sz w:val="24"/>
          <w:szCs w:val="24"/>
          <w:shd w:val="clear" w:color="auto" w:fill="FFFFFF"/>
          <w:lang w:val="en-GB" w:eastAsia="de-DE"/>
        </w:rPr>
        <w:t>making</w:t>
      </w:r>
      <w:r w:rsidRPr="00497A81">
        <w:rPr>
          <w:rFonts w:ascii="Times New Roman" w:eastAsia="Times New Roman" w:hAnsi="Times New Roman" w:cs="Times New Roman"/>
          <w:color w:val="000000"/>
          <w:sz w:val="24"/>
          <w:szCs w:val="24"/>
          <w:shd w:val="clear" w:color="auto" w:fill="FFFFFF"/>
          <w:lang w:val="en-GB" w:eastAsia="de-DE"/>
        </w:rPr>
        <w:t xml:space="preserve"> on markets?  </w:t>
      </w:r>
    </w:p>
    <w:p w14:paraId="46BE10AA" w14:textId="77777777" w:rsidR="0038441A" w:rsidRPr="00497A81" w:rsidRDefault="0038441A"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0492136B" w14:textId="38EA6E00" w:rsidR="0038441A" w:rsidRPr="00497A81" w:rsidRDefault="0038441A"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497A81">
        <w:rPr>
          <w:rFonts w:ascii="Times New Roman" w:eastAsia="Times New Roman" w:hAnsi="Times New Roman" w:cs="Times New Roman"/>
          <w:b/>
          <w:color w:val="000000"/>
          <w:sz w:val="24"/>
          <w:szCs w:val="24"/>
          <w:shd w:val="clear" w:color="auto" w:fill="FFFFFF"/>
          <w:lang w:val="en-GB" w:eastAsia="de-DE"/>
        </w:rPr>
        <w:lastRenderedPageBreak/>
        <w:t xml:space="preserve">2. Consumers and Investors as Principals … and </w:t>
      </w:r>
      <w:r w:rsidR="00086F2E">
        <w:rPr>
          <w:rFonts w:ascii="Times New Roman" w:eastAsia="Times New Roman" w:hAnsi="Times New Roman" w:cs="Times New Roman"/>
          <w:b/>
          <w:color w:val="000000"/>
          <w:sz w:val="24"/>
          <w:szCs w:val="24"/>
          <w:shd w:val="clear" w:color="auto" w:fill="FFFFFF"/>
          <w:lang w:val="en-GB" w:eastAsia="de-DE"/>
        </w:rPr>
        <w:t>Beyond</w:t>
      </w:r>
    </w:p>
    <w:p w14:paraId="72FF922F" w14:textId="77777777" w:rsidR="0038441A" w:rsidRPr="00497A81" w:rsidRDefault="0038441A"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51981C9E" w14:textId="7B024949" w:rsidR="00312BBA" w:rsidRPr="00497A81" w:rsidRDefault="00312BBA" w:rsidP="00312BBA">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At this point, </w:t>
      </w:r>
      <w:r w:rsidR="0051688B" w:rsidRPr="00497A81">
        <w:rPr>
          <w:rFonts w:ascii="Times New Roman" w:eastAsia="Times New Roman" w:hAnsi="Times New Roman" w:cs="Times New Roman"/>
          <w:color w:val="000000"/>
          <w:sz w:val="24"/>
          <w:szCs w:val="24"/>
          <w:shd w:val="clear" w:color="auto" w:fill="FFFFFF"/>
          <w:lang w:val="en-GB" w:eastAsia="de-DE"/>
        </w:rPr>
        <w:t>four</w:t>
      </w:r>
      <w:r w:rsidR="00F46C28" w:rsidRPr="00497A81">
        <w:rPr>
          <w:rFonts w:ascii="Times New Roman" w:eastAsia="Times New Roman" w:hAnsi="Times New Roman" w:cs="Times New Roman"/>
          <w:color w:val="000000"/>
          <w:sz w:val="24"/>
          <w:szCs w:val="24"/>
          <w:shd w:val="clear" w:color="auto" w:fill="FFFFFF"/>
          <w:lang w:val="en-GB" w:eastAsia="de-DE"/>
        </w:rPr>
        <w:t xml:space="preserve"> </w:t>
      </w:r>
      <w:r w:rsidRPr="00497A81">
        <w:rPr>
          <w:rFonts w:ascii="Times New Roman" w:eastAsia="Times New Roman" w:hAnsi="Times New Roman" w:cs="Times New Roman"/>
          <w:color w:val="000000"/>
          <w:sz w:val="24"/>
          <w:szCs w:val="24"/>
          <w:shd w:val="clear" w:color="auto" w:fill="FFFFFF"/>
          <w:lang w:val="en-GB" w:eastAsia="de-DE"/>
        </w:rPr>
        <w:t>considerations need to be made</w:t>
      </w:r>
      <w:r w:rsidR="00F46C28" w:rsidRPr="00497A81">
        <w:rPr>
          <w:rFonts w:ascii="Times New Roman" w:eastAsia="Times New Roman" w:hAnsi="Times New Roman" w:cs="Times New Roman"/>
          <w:color w:val="000000"/>
          <w:sz w:val="24"/>
          <w:szCs w:val="24"/>
          <w:shd w:val="clear" w:color="auto" w:fill="FFFFFF"/>
          <w:lang w:val="en-GB" w:eastAsia="de-DE"/>
        </w:rPr>
        <w:t xml:space="preserve"> to complete the first step of our discourse</w:t>
      </w:r>
      <w:r w:rsidRPr="00497A81">
        <w:rPr>
          <w:rFonts w:ascii="Times New Roman" w:eastAsia="Times New Roman" w:hAnsi="Times New Roman" w:cs="Times New Roman"/>
          <w:color w:val="000000"/>
          <w:sz w:val="24"/>
          <w:szCs w:val="24"/>
          <w:shd w:val="clear" w:color="auto" w:fill="FFFFFF"/>
          <w:lang w:val="en-GB" w:eastAsia="de-DE"/>
        </w:rPr>
        <w:t xml:space="preserve">: a) that indeed </w:t>
      </w:r>
      <w:r w:rsidRPr="00497A81">
        <w:rPr>
          <w:rFonts w:ascii="Times New Roman" w:eastAsia="Times New Roman" w:hAnsi="Times New Roman" w:cs="Times New Roman"/>
          <w:i/>
          <w:color w:val="000000"/>
          <w:sz w:val="24"/>
          <w:szCs w:val="24"/>
          <w:shd w:val="clear" w:color="auto" w:fill="FFFFFF"/>
          <w:lang w:val="en-GB" w:eastAsia="de-DE"/>
        </w:rPr>
        <w:t>consumers/clients are not seen as principals</w:t>
      </w:r>
      <w:r w:rsidRPr="00497A81">
        <w:rPr>
          <w:rFonts w:ascii="Times New Roman" w:eastAsia="Times New Roman" w:hAnsi="Times New Roman" w:cs="Times New Roman"/>
          <w:color w:val="000000"/>
          <w:sz w:val="24"/>
          <w:szCs w:val="24"/>
          <w:shd w:val="clear" w:color="auto" w:fill="FFFFFF"/>
          <w:lang w:val="en-GB" w:eastAsia="de-DE"/>
        </w:rPr>
        <w:t xml:space="preserve"> by mainstream economics while shareholders/investors are, b) that this is </w:t>
      </w:r>
      <w:r w:rsidRPr="00497A81">
        <w:rPr>
          <w:rFonts w:ascii="Times New Roman" w:eastAsia="Times New Roman" w:hAnsi="Times New Roman" w:cs="Times New Roman"/>
          <w:i/>
          <w:color w:val="000000"/>
          <w:sz w:val="24"/>
          <w:szCs w:val="24"/>
          <w:shd w:val="clear" w:color="auto" w:fill="FFFFFF"/>
          <w:lang w:val="en-GB" w:eastAsia="de-DE"/>
        </w:rPr>
        <w:t>formally questionable</w:t>
      </w:r>
      <w:r w:rsidRPr="00497A81">
        <w:rPr>
          <w:rFonts w:ascii="Times New Roman" w:eastAsia="Times New Roman" w:hAnsi="Times New Roman" w:cs="Times New Roman"/>
          <w:color w:val="000000"/>
          <w:sz w:val="24"/>
          <w:szCs w:val="24"/>
          <w:shd w:val="clear" w:color="auto" w:fill="FFFFFF"/>
          <w:lang w:val="en-GB" w:eastAsia="de-DE"/>
        </w:rPr>
        <w:t xml:space="preserve"> as both roles are strongly linked and in fact can be seen as the two sides of the same coin, c) that this is also </w:t>
      </w:r>
      <w:r w:rsidRPr="00497A81">
        <w:rPr>
          <w:rFonts w:ascii="Times New Roman" w:eastAsia="Times New Roman" w:hAnsi="Times New Roman" w:cs="Times New Roman"/>
          <w:i/>
          <w:color w:val="000000"/>
          <w:sz w:val="24"/>
          <w:szCs w:val="24"/>
          <w:shd w:val="clear" w:color="auto" w:fill="FFFFFF"/>
          <w:lang w:val="en-GB" w:eastAsia="de-DE"/>
        </w:rPr>
        <w:t xml:space="preserve">questionable from the </w:t>
      </w:r>
      <w:r w:rsidR="00933929" w:rsidRPr="00497A81">
        <w:rPr>
          <w:rFonts w:ascii="Times New Roman" w:eastAsia="Times New Roman" w:hAnsi="Times New Roman" w:cs="Times New Roman"/>
          <w:i/>
          <w:color w:val="000000"/>
          <w:sz w:val="24"/>
          <w:szCs w:val="24"/>
          <w:shd w:val="clear" w:color="auto" w:fill="FFFFFF"/>
          <w:lang w:val="en-GB" w:eastAsia="de-DE"/>
        </w:rPr>
        <w:t xml:space="preserve">substantive </w:t>
      </w:r>
      <w:r w:rsidRPr="00497A81">
        <w:rPr>
          <w:rFonts w:ascii="Times New Roman" w:eastAsia="Times New Roman" w:hAnsi="Times New Roman" w:cs="Times New Roman"/>
          <w:i/>
          <w:color w:val="000000"/>
          <w:sz w:val="24"/>
          <w:szCs w:val="24"/>
          <w:shd w:val="clear" w:color="auto" w:fill="FFFFFF"/>
          <w:lang w:val="en-GB" w:eastAsia="de-DE"/>
        </w:rPr>
        <w:t>point of view</w:t>
      </w:r>
      <w:r w:rsidRPr="00497A81">
        <w:rPr>
          <w:rFonts w:ascii="Times New Roman" w:eastAsia="Times New Roman" w:hAnsi="Times New Roman" w:cs="Times New Roman"/>
          <w:color w:val="000000"/>
          <w:sz w:val="24"/>
          <w:szCs w:val="24"/>
          <w:shd w:val="clear" w:color="auto" w:fill="FFFFFF"/>
          <w:lang w:val="en-GB" w:eastAsia="de-DE"/>
        </w:rPr>
        <w:t xml:space="preserve"> of how principal agency theory justifies the position of shareholders as principals (with reasons which exactly apply also </w:t>
      </w:r>
      <w:r w:rsidR="00933929" w:rsidRPr="00497A81">
        <w:rPr>
          <w:rFonts w:ascii="Times New Roman" w:eastAsia="Times New Roman" w:hAnsi="Times New Roman" w:cs="Times New Roman"/>
          <w:color w:val="000000"/>
          <w:sz w:val="24"/>
          <w:szCs w:val="24"/>
          <w:shd w:val="clear" w:color="auto" w:fill="FFFFFF"/>
          <w:lang w:val="en-GB" w:eastAsia="de-DE"/>
        </w:rPr>
        <w:t>to</w:t>
      </w:r>
      <w:r w:rsidRPr="00497A81">
        <w:rPr>
          <w:rFonts w:ascii="Times New Roman" w:eastAsia="Times New Roman" w:hAnsi="Times New Roman" w:cs="Times New Roman"/>
          <w:color w:val="000000"/>
          <w:sz w:val="24"/>
          <w:szCs w:val="24"/>
          <w:shd w:val="clear" w:color="auto" w:fill="FFFFFF"/>
          <w:lang w:val="en-GB" w:eastAsia="de-DE"/>
        </w:rPr>
        <w:t xml:space="preserve"> the client/supplier relationship on markets), and d)</w:t>
      </w:r>
      <w:r w:rsidR="00887836" w:rsidRPr="00497A81">
        <w:rPr>
          <w:rFonts w:ascii="Times New Roman" w:eastAsia="Times New Roman" w:hAnsi="Times New Roman" w:cs="Times New Roman"/>
          <w:color w:val="000000"/>
          <w:sz w:val="24"/>
          <w:szCs w:val="24"/>
          <w:shd w:val="clear" w:color="auto" w:fill="FFFFFF"/>
          <w:lang w:val="en-GB" w:eastAsia="de-DE"/>
        </w:rPr>
        <w:t xml:space="preserve"> </w:t>
      </w:r>
      <w:r w:rsidRPr="00497A81">
        <w:rPr>
          <w:rFonts w:ascii="Times New Roman" w:eastAsia="Times New Roman" w:hAnsi="Times New Roman" w:cs="Times New Roman"/>
          <w:color w:val="000000"/>
          <w:sz w:val="24"/>
          <w:szCs w:val="24"/>
          <w:shd w:val="clear" w:color="auto" w:fill="FFFFFF"/>
          <w:lang w:val="en-GB" w:eastAsia="de-DE"/>
        </w:rPr>
        <w:t>finally</w:t>
      </w:r>
      <w:r w:rsidR="004103F5"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 xml:space="preserve"> some consideration has to be given </w:t>
      </w:r>
      <w:r w:rsidRPr="00DA09BA">
        <w:rPr>
          <w:rFonts w:ascii="Times New Roman" w:eastAsia="Times New Roman" w:hAnsi="Times New Roman" w:cs="Times New Roman"/>
          <w:color w:val="000000"/>
          <w:sz w:val="24"/>
          <w:szCs w:val="24"/>
          <w:shd w:val="clear" w:color="auto" w:fill="FFFFFF"/>
          <w:lang w:val="en-GB" w:eastAsia="de-DE"/>
        </w:rPr>
        <w:t>to the question how far consumer welfare go</w:t>
      </w:r>
      <w:r w:rsidR="009643D6" w:rsidRPr="00DA09BA">
        <w:rPr>
          <w:rFonts w:ascii="Times New Roman" w:eastAsia="Times New Roman" w:hAnsi="Times New Roman" w:cs="Times New Roman"/>
          <w:color w:val="000000"/>
          <w:sz w:val="24"/>
          <w:szCs w:val="24"/>
          <w:shd w:val="clear" w:color="auto" w:fill="FFFFFF"/>
          <w:lang w:val="en-GB" w:eastAsia="de-DE"/>
        </w:rPr>
        <w:t>es</w:t>
      </w:r>
      <w:r w:rsidRPr="00DA09BA">
        <w:rPr>
          <w:rFonts w:ascii="Times New Roman" w:eastAsia="Times New Roman" w:hAnsi="Times New Roman" w:cs="Times New Roman"/>
          <w:color w:val="000000"/>
          <w:sz w:val="24"/>
          <w:szCs w:val="24"/>
          <w:shd w:val="clear" w:color="auto" w:fill="FFFFFF"/>
          <w:lang w:val="en-GB" w:eastAsia="de-DE"/>
        </w:rPr>
        <w:t xml:space="preserve">, </w:t>
      </w:r>
      <w:r w:rsidRPr="00DA09BA">
        <w:rPr>
          <w:rFonts w:ascii="Times New Roman" w:eastAsia="Times New Roman" w:hAnsi="Times New Roman" w:cs="Times New Roman"/>
          <w:i/>
          <w:color w:val="000000"/>
          <w:sz w:val="24"/>
          <w:szCs w:val="24"/>
          <w:shd w:val="clear" w:color="auto" w:fill="FFFFFF"/>
          <w:lang w:val="en-GB" w:eastAsia="de-DE"/>
        </w:rPr>
        <w:t xml:space="preserve">which </w:t>
      </w:r>
      <w:r w:rsidR="009643D6" w:rsidRPr="00497A81">
        <w:rPr>
          <w:rFonts w:ascii="Times New Roman" w:eastAsia="Times New Roman" w:hAnsi="Times New Roman" w:cs="Times New Roman"/>
          <w:i/>
          <w:color w:val="000000"/>
          <w:sz w:val="24"/>
          <w:szCs w:val="24"/>
          <w:shd w:val="clear" w:color="auto" w:fill="FFFFFF"/>
          <w:lang w:val="en-GB" w:eastAsia="de-DE"/>
        </w:rPr>
        <w:t>are the limitations of this normative goal</w:t>
      </w:r>
      <w:r w:rsidRPr="00497A81">
        <w:rPr>
          <w:rFonts w:ascii="Times New Roman" w:eastAsia="Times New Roman" w:hAnsi="Times New Roman" w:cs="Times New Roman"/>
          <w:color w:val="000000"/>
          <w:sz w:val="24"/>
          <w:szCs w:val="24"/>
          <w:shd w:val="clear" w:color="auto" w:fill="FFFFFF"/>
          <w:lang w:val="en-GB" w:eastAsia="de-DE"/>
        </w:rPr>
        <w:t>. We take up each of these considerations in turn:</w:t>
      </w:r>
    </w:p>
    <w:p w14:paraId="6A44A58F" w14:textId="278DE90F" w:rsidR="00D20E01" w:rsidRPr="00497A81" w:rsidRDefault="00933929" w:rsidP="009339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a) I</w:t>
      </w:r>
      <w:r w:rsidR="00287D4B" w:rsidRPr="00497A81">
        <w:rPr>
          <w:rFonts w:ascii="Times New Roman" w:eastAsia="Times New Roman" w:hAnsi="Times New Roman" w:cs="Times New Roman"/>
          <w:color w:val="000000"/>
          <w:sz w:val="24"/>
          <w:szCs w:val="24"/>
          <w:shd w:val="clear" w:color="auto" w:fill="FFFFFF"/>
          <w:lang w:val="en-GB" w:eastAsia="de-DE"/>
        </w:rPr>
        <w:t>ndeed, the traditional view in mainstream economics would seem to be</w:t>
      </w:r>
      <w:r w:rsidR="002F09A9" w:rsidRPr="00497A81">
        <w:rPr>
          <w:rFonts w:ascii="Times New Roman" w:eastAsia="Times New Roman" w:hAnsi="Times New Roman" w:cs="Times New Roman"/>
          <w:color w:val="000000"/>
          <w:sz w:val="24"/>
          <w:szCs w:val="24"/>
          <w:shd w:val="clear" w:color="auto" w:fill="FFFFFF"/>
          <w:lang w:val="en-GB" w:eastAsia="de-DE"/>
        </w:rPr>
        <w:t>, on the one hand,</w:t>
      </w:r>
      <w:r w:rsidR="00287D4B" w:rsidRPr="00497A81">
        <w:rPr>
          <w:rFonts w:ascii="Times New Roman" w:eastAsia="Times New Roman" w:hAnsi="Times New Roman" w:cs="Times New Roman"/>
          <w:color w:val="000000"/>
          <w:sz w:val="24"/>
          <w:szCs w:val="24"/>
          <w:shd w:val="clear" w:color="auto" w:fill="FFFFFF"/>
          <w:lang w:val="en-GB" w:eastAsia="de-DE"/>
        </w:rPr>
        <w:t xml:space="preserve"> that</w:t>
      </w:r>
      <w:r w:rsidR="002F09A9" w:rsidRPr="00497A81">
        <w:rPr>
          <w:rFonts w:ascii="Times New Roman" w:eastAsia="Times New Roman" w:hAnsi="Times New Roman" w:cs="Times New Roman"/>
          <w:color w:val="000000"/>
          <w:sz w:val="24"/>
          <w:szCs w:val="24"/>
          <w:shd w:val="clear" w:color="auto" w:fill="FFFFFF"/>
          <w:lang w:val="en-GB" w:eastAsia="de-DE"/>
        </w:rPr>
        <w:t xml:space="preserve"> markets and regulation of markets serve – as their ultimate goal – to maximize overall welfare, not to maximize the welfare of one side of markets, namely that of clients/consumers:</w:t>
      </w:r>
      <w:r w:rsidR="00287D4B" w:rsidRPr="00497A81">
        <w:rPr>
          <w:rFonts w:ascii="Times New Roman" w:eastAsia="Times New Roman" w:hAnsi="Times New Roman" w:cs="Times New Roman"/>
          <w:color w:val="000000"/>
          <w:sz w:val="24"/>
          <w:szCs w:val="24"/>
          <w:shd w:val="clear" w:color="auto" w:fill="FFFFFF"/>
          <w:lang w:val="en-GB" w:eastAsia="de-DE"/>
        </w:rPr>
        <w:t xml:space="preserve"> </w:t>
      </w:r>
      <w:r w:rsidR="00E3526A" w:rsidRPr="00497A81">
        <w:rPr>
          <w:rFonts w:ascii="Times New Roman" w:eastAsia="Times New Roman" w:hAnsi="Times New Roman" w:cs="Times New Roman"/>
          <w:color w:val="000000"/>
          <w:sz w:val="24"/>
          <w:szCs w:val="24"/>
          <w:shd w:val="clear" w:color="auto" w:fill="FFFFFF"/>
          <w:lang w:val="en-GB" w:eastAsia="de-DE"/>
        </w:rPr>
        <w:t xml:space="preserve">the market process is basically conceived of as a directionless maximizer of </w:t>
      </w:r>
      <w:r w:rsidR="00E217EB" w:rsidRPr="00497A81">
        <w:rPr>
          <w:rFonts w:ascii="Times New Roman" w:eastAsia="Times New Roman" w:hAnsi="Times New Roman" w:cs="Times New Roman"/>
          <w:color w:val="000000"/>
          <w:sz w:val="24"/>
          <w:szCs w:val="24"/>
          <w:shd w:val="clear" w:color="auto" w:fill="FFFFFF"/>
          <w:lang w:val="en-GB" w:eastAsia="de-DE"/>
        </w:rPr>
        <w:t>overall</w:t>
      </w:r>
      <w:r w:rsidR="00E3526A" w:rsidRPr="00497A81">
        <w:rPr>
          <w:rFonts w:ascii="Times New Roman" w:eastAsia="Times New Roman" w:hAnsi="Times New Roman" w:cs="Times New Roman"/>
          <w:color w:val="000000"/>
          <w:sz w:val="24"/>
          <w:szCs w:val="24"/>
          <w:shd w:val="clear" w:color="auto" w:fill="FFFFFF"/>
          <w:lang w:val="en-GB" w:eastAsia="de-DE"/>
        </w:rPr>
        <w:t xml:space="preserve"> welfare</w:t>
      </w:r>
      <w:r w:rsidR="00910DB1" w:rsidRPr="00497A81">
        <w:rPr>
          <w:rFonts w:ascii="Times New Roman" w:eastAsia="Times New Roman" w:hAnsi="Times New Roman" w:cs="Times New Roman"/>
          <w:color w:val="000000"/>
          <w:sz w:val="24"/>
          <w:szCs w:val="24"/>
          <w:shd w:val="clear" w:color="auto" w:fill="FFFFFF"/>
          <w:lang w:val="en-GB" w:eastAsia="de-DE"/>
        </w:rPr>
        <w:t>.</w:t>
      </w:r>
      <w:r w:rsidR="00910DB1"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1"/>
      </w:r>
      <w:r w:rsidR="00910DB1" w:rsidRPr="00497A81">
        <w:rPr>
          <w:rFonts w:ascii="Times New Roman" w:eastAsia="Times New Roman" w:hAnsi="Times New Roman" w:cs="Times New Roman"/>
          <w:color w:val="000000"/>
          <w:sz w:val="24"/>
          <w:szCs w:val="24"/>
          <w:shd w:val="clear" w:color="auto" w:fill="FFFFFF"/>
          <w:lang w:val="en-GB" w:eastAsia="de-DE"/>
        </w:rPr>
        <w:t xml:space="preserve"> Directionless, because</w:t>
      </w:r>
      <w:r w:rsidR="00E3526A" w:rsidRPr="00497A81">
        <w:rPr>
          <w:rFonts w:ascii="Times New Roman" w:eastAsia="Times New Roman" w:hAnsi="Times New Roman" w:cs="Times New Roman"/>
          <w:color w:val="000000"/>
          <w:sz w:val="24"/>
          <w:szCs w:val="24"/>
          <w:shd w:val="clear" w:color="auto" w:fill="FFFFFF"/>
          <w:lang w:val="en-GB" w:eastAsia="de-DE"/>
        </w:rPr>
        <w:t xml:space="preserve"> </w:t>
      </w:r>
      <w:r w:rsidR="00E217EB" w:rsidRPr="00497A81">
        <w:rPr>
          <w:rFonts w:ascii="Times New Roman" w:eastAsia="Times New Roman" w:hAnsi="Times New Roman" w:cs="Times New Roman"/>
          <w:color w:val="000000"/>
          <w:sz w:val="24"/>
          <w:szCs w:val="24"/>
          <w:shd w:val="clear" w:color="auto" w:fill="FFFFFF"/>
          <w:lang w:val="en-GB" w:eastAsia="de-DE"/>
        </w:rPr>
        <w:t>the distribution of welfare between the parties is of no relevance at all</w:t>
      </w:r>
      <w:r w:rsidR="00910DB1" w:rsidRPr="00497A81">
        <w:rPr>
          <w:rFonts w:ascii="Times New Roman" w:eastAsia="Times New Roman" w:hAnsi="Times New Roman" w:cs="Times New Roman"/>
          <w:color w:val="000000"/>
          <w:sz w:val="24"/>
          <w:szCs w:val="24"/>
          <w:shd w:val="clear" w:color="auto" w:fill="FFFFFF"/>
          <w:lang w:val="en-GB" w:eastAsia="de-DE"/>
        </w:rPr>
        <w:t xml:space="preserve"> f</w:t>
      </w:r>
      <w:r w:rsidR="00A63E40" w:rsidRPr="00497A81">
        <w:rPr>
          <w:rFonts w:ascii="Times New Roman" w:eastAsia="Times New Roman" w:hAnsi="Times New Roman" w:cs="Times New Roman"/>
          <w:color w:val="000000"/>
          <w:sz w:val="24"/>
          <w:szCs w:val="24"/>
          <w:shd w:val="clear" w:color="auto" w:fill="FFFFFF"/>
          <w:lang w:val="en-GB" w:eastAsia="de-DE"/>
        </w:rPr>
        <w:t>rom a normative perspective</w:t>
      </w:r>
      <w:r w:rsidR="00E217EB" w:rsidRPr="00497A81">
        <w:rPr>
          <w:rFonts w:ascii="Times New Roman" w:eastAsia="Times New Roman" w:hAnsi="Times New Roman" w:cs="Times New Roman"/>
          <w:color w:val="000000"/>
          <w:sz w:val="24"/>
          <w:szCs w:val="24"/>
          <w:shd w:val="clear" w:color="auto" w:fill="FFFFFF"/>
          <w:lang w:val="en-GB" w:eastAsia="de-DE"/>
        </w:rPr>
        <w:t xml:space="preserve">. </w:t>
      </w:r>
      <w:r w:rsidR="00910DB1" w:rsidRPr="00497A81">
        <w:rPr>
          <w:rFonts w:ascii="Times New Roman" w:eastAsia="Times New Roman" w:hAnsi="Times New Roman" w:cs="Times New Roman"/>
          <w:color w:val="000000"/>
          <w:sz w:val="24"/>
          <w:szCs w:val="24"/>
          <w:shd w:val="clear" w:color="auto" w:fill="FFFFFF"/>
          <w:lang w:val="en-GB" w:eastAsia="de-DE"/>
        </w:rPr>
        <w:t>The argument is that distributive concerns are better addressed outside the market system.</w:t>
      </w:r>
      <w:r w:rsidR="00910DB1"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2"/>
      </w:r>
      <w:r w:rsidR="00910DB1" w:rsidRPr="00497A81">
        <w:rPr>
          <w:rFonts w:ascii="Times New Roman" w:eastAsia="Times New Roman" w:hAnsi="Times New Roman" w:cs="Times New Roman"/>
          <w:color w:val="000000"/>
          <w:sz w:val="24"/>
          <w:szCs w:val="24"/>
          <w:shd w:val="clear" w:color="auto" w:fill="FFFFFF"/>
          <w:lang w:val="en-GB" w:eastAsia="de-DE"/>
        </w:rPr>
        <w:t xml:space="preserve"> Thus, </w:t>
      </w:r>
      <w:r w:rsidR="00A63E40" w:rsidRPr="00497A81">
        <w:rPr>
          <w:rFonts w:ascii="Times New Roman" w:eastAsia="Times New Roman" w:hAnsi="Times New Roman" w:cs="Times New Roman"/>
          <w:color w:val="000000"/>
          <w:sz w:val="24"/>
          <w:szCs w:val="24"/>
          <w:shd w:val="clear" w:color="auto" w:fill="FFFFFF"/>
          <w:lang w:val="en-GB" w:eastAsia="de-DE"/>
        </w:rPr>
        <w:t xml:space="preserve">even </w:t>
      </w:r>
      <w:r w:rsidR="001D5DD6" w:rsidRPr="00497A81">
        <w:rPr>
          <w:rFonts w:ascii="Times New Roman" w:eastAsia="Times New Roman" w:hAnsi="Times New Roman" w:cs="Times New Roman"/>
          <w:color w:val="000000"/>
          <w:sz w:val="24"/>
          <w:szCs w:val="24"/>
          <w:shd w:val="clear" w:color="auto" w:fill="FFFFFF"/>
          <w:lang w:val="en-GB" w:eastAsia="de-DE"/>
        </w:rPr>
        <w:t>“</w:t>
      </w:r>
      <w:r w:rsidR="004103F5" w:rsidRPr="00497A81">
        <w:rPr>
          <w:rFonts w:ascii="Times New Roman" w:eastAsia="Times New Roman" w:hAnsi="Times New Roman" w:cs="Times New Roman"/>
          <w:color w:val="000000"/>
          <w:sz w:val="24"/>
          <w:szCs w:val="24"/>
          <w:shd w:val="clear" w:color="auto" w:fill="FFFFFF"/>
          <w:lang w:val="en-GB" w:eastAsia="de-DE"/>
        </w:rPr>
        <w:t>C</w:t>
      </w:r>
      <w:r w:rsidR="001D5DD6" w:rsidRPr="00497A81">
        <w:rPr>
          <w:rFonts w:ascii="Times New Roman" w:eastAsia="Times New Roman" w:hAnsi="Times New Roman" w:cs="Times New Roman"/>
          <w:color w:val="000000"/>
          <w:sz w:val="24"/>
          <w:szCs w:val="24"/>
          <w:shd w:val="clear" w:color="auto" w:fill="FFFFFF"/>
          <w:lang w:val="en-GB" w:eastAsia="de-DE"/>
        </w:rPr>
        <w:t xml:space="preserve">onsumer protection is not an end in itself, especially in competitive markets; it can be justified, </w:t>
      </w:r>
      <w:r w:rsidR="00A63E40" w:rsidRPr="00497A81">
        <w:rPr>
          <w:rFonts w:ascii="Times New Roman" w:eastAsia="Times New Roman" w:hAnsi="Times New Roman" w:cs="Times New Roman"/>
          <w:color w:val="000000"/>
          <w:sz w:val="24"/>
          <w:szCs w:val="24"/>
          <w:shd w:val="clear" w:color="auto" w:fill="FFFFFF"/>
          <w:lang w:val="en-GB" w:eastAsia="de-DE"/>
        </w:rPr>
        <w:t>i</w:t>
      </w:r>
      <w:r w:rsidR="001D5DD6" w:rsidRPr="00497A81">
        <w:rPr>
          <w:rFonts w:ascii="Times New Roman" w:eastAsia="Times New Roman" w:hAnsi="Times New Roman" w:cs="Times New Roman"/>
          <w:color w:val="000000"/>
          <w:sz w:val="24"/>
          <w:szCs w:val="24"/>
          <w:shd w:val="clear" w:color="auto" w:fill="FFFFFF"/>
          <w:lang w:val="en-GB" w:eastAsia="de-DE"/>
        </w:rPr>
        <w:t>f at all, solely as a means to maximize the net value for both parties”</w:t>
      </w:r>
      <w:r w:rsidR="00910DB1" w:rsidRPr="00497A81">
        <w:rPr>
          <w:rFonts w:ascii="Times New Roman" w:eastAsia="Times New Roman" w:hAnsi="Times New Roman" w:cs="Times New Roman"/>
          <w:color w:val="000000"/>
          <w:sz w:val="24"/>
          <w:szCs w:val="24"/>
          <w:shd w:val="clear" w:color="auto" w:fill="FFFFFF"/>
          <w:lang w:val="en-GB" w:eastAsia="de-DE"/>
        </w:rPr>
        <w:t>.</w:t>
      </w:r>
      <w:r w:rsidR="00910DB1"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3"/>
      </w:r>
      <w:r w:rsidR="00910DB1" w:rsidRPr="00497A81">
        <w:rPr>
          <w:rFonts w:ascii="Times New Roman" w:eastAsia="Times New Roman" w:hAnsi="Times New Roman" w:cs="Times New Roman"/>
          <w:color w:val="000000"/>
          <w:sz w:val="24"/>
          <w:szCs w:val="24"/>
          <w:shd w:val="clear" w:color="auto" w:fill="FFFFFF"/>
          <w:lang w:val="en-GB" w:eastAsia="de-DE"/>
        </w:rPr>
        <w:t xml:space="preserve"> </w:t>
      </w:r>
      <w:r w:rsidR="002F09A9" w:rsidRPr="00497A81">
        <w:rPr>
          <w:rFonts w:ascii="Times New Roman" w:eastAsia="Times New Roman" w:hAnsi="Times New Roman" w:cs="Times New Roman"/>
          <w:color w:val="000000"/>
          <w:sz w:val="24"/>
          <w:szCs w:val="24"/>
          <w:shd w:val="clear" w:color="auto" w:fill="FFFFFF"/>
          <w:lang w:val="en-GB" w:eastAsia="de-DE"/>
        </w:rPr>
        <w:t xml:space="preserve">On the other hand, it seems equally solid a mainstream position in economic theory today that managers of firms are to be seen as agents and shareholders as principals. It may be that Berle/Means, when they first described the relationship from a law </w:t>
      </w:r>
      <w:r w:rsidR="002F09A9" w:rsidRPr="00497A81">
        <w:rPr>
          <w:rFonts w:ascii="Times New Roman" w:eastAsia="Times New Roman" w:hAnsi="Times New Roman" w:cs="Times New Roman"/>
          <w:i/>
          <w:color w:val="000000"/>
          <w:sz w:val="24"/>
          <w:szCs w:val="24"/>
          <w:shd w:val="clear" w:color="auto" w:fill="FFFFFF"/>
          <w:lang w:val="en-GB" w:eastAsia="de-DE"/>
        </w:rPr>
        <w:t>and</w:t>
      </w:r>
      <w:r w:rsidR="002F09A9" w:rsidRPr="00497A81">
        <w:rPr>
          <w:rFonts w:ascii="Times New Roman" w:eastAsia="Times New Roman" w:hAnsi="Times New Roman" w:cs="Times New Roman"/>
          <w:color w:val="000000"/>
          <w:sz w:val="24"/>
          <w:szCs w:val="24"/>
          <w:shd w:val="clear" w:color="auto" w:fill="FFFFFF"/>
          <w:lang w:val="en-GB" w:eastAsia="de-DE"/>
        </w:rPr>
        <w:t xml:space="preserve"> economics perspective in 1932, could conceive of the relationship rather differently and </w:t>
      </w:r>
      <w:r w:rsidR="002F672B" w:rsidRPr="00497A81">
        <w:rPr>
          <w:rFonts w:ascii="Times New Roman" w:eastAsia="Times New Roman" w:hAnsi="Times New Roman" w:cs="Times New Roman"/>
          <w:color w:val="000000"/>
          <w:sz w:val="24"/>
          <w:szCs w:val="24"/>
          <w:shd w:val="clear" w:color="auto" w:fill="FFFFFF"/>
          <w:lang w:val="en-GB" w:eastAsia="de-DE"/>
        </w:rPr>
        <w:t xml:space="preserve">still could famously </w:t>
      </w:r>
      <w:r w:rsidR="002F09A9" w:rsidRPr="00497A81">
        <w:rPr>
          <w:rFonts w:ascii="Times New Roman" w:eastAsia="Times New Roman" w:hAnsi="Times New Roman" w:cs="Times New Roman"/>
          <w:color w:val="000000"/>
          <w:sz w:val="24"/>
          <w:szCs w:val="24"/>
          <w:shd w:val="clear" w:color="auto" w:fill="FFFFFF"/>
          <w:lang w:val="en-GB" w:eastAsia="de-DE"/>
        </w:rPr>
        <w:t xml:space="preserve">write: </w:t>
      </w:r>
      <w:r w:rsidR="00DE55A7">
        <w:rPr>
          <w:rFonts w:ascii="Times New Roman" w:eastAsia="Times New Roman" w:hAnsi="Times New Roman" w:cs="Times New Roman"/>
          <w:color w:val="000000"/>
          <w:sz w:val="24"/>
          <w:szCs w:val="24"/>
          <w:shd w:val="clear" w:color="auto" w:fill="FFFFFF"/>
          <w:lang w:val="en-GB" w:eastAsia="de-DE"/>
        </w:rPr>
        <w:t>“</w:t>
      </w:r>
      <w:r w:rsidR="002F672B" w:rsidRPr="00DE55A7">
        <w:rPr>
          <w:rFonts w:ascii="Times New Roman" w:eastAsia="Times New Roman" w:hAnsi="Times New Roman" w:cs="Times New Roman"/>
          <w:color w:val="000000"/>
          <w:sz w:val="24"/>
          <w:szCs w:val="24"/>
          <w:shd w:val="clear" w:color="auto" w:fill="FFFFFF"/>
          <w:lang w:val="en-GB" w:eastAsia="de-DE"/>
        </w:rPr>
        <w:t xml:space="preserve">Our </w:t>
      </w:r>
      <w:r w:rsidR="002F672B" w:rsidRPr="00497A81">
        <w:rPr>
          <w:rFonts w:ascii="Times New Roman" w:hAnsi="Times New Roman" w:cs="Times New Roman"/>
          <w:sz w:val="24"/>
          <w:szCs w:val="24"/>
          <w:lang w:val="en-GB"/>
        </w:rPr>
        <w:t>idea does not accord either with the popular or the legal concept of a shareholder [i.e. as an owner]. … The various incidental rights – voting, pre-emptive rights in new stock issues, and the like [the traditional bundle of shareholders’ ‘property’ rights] … [are] merely uncertain expectations</w:t>
      </w:r>
      <w:r w:rsidR="00DE55A7">
        <w:rPr>
          <w:rFonts w:ascii="Times New Roman" w:hAnsi="Times New Roman" w:cs="Times New Roman"/>
          <w:sz w:val="24"/>
          <w:szCs w:val="24"/>
          <w:lang w:val="en-GB"/>
        </w:rPr>
        <w:t xml:space="preserve"> in the hands of the individual</w:t>
      </w:r>
      <w:r w:rsidR="002F672B" w:rsidRPr="00497A81">
        <w:rPr>
          <w:rFonts w:ascii="Times New Roman" w:hAnsi="Times New Roman" w:cs="Times New Roman"/>
          <w:sz w:val="24"/>
          <w:szCs w:val="24"/>
          <w:lang w:val="en-GB"/>
        </w:rPr>
        <w:t>”</w:t>
      </w:r>
      <w:r w:rsidR="00DE55A7">
        <w:rPr>
          <w:rFonts w:ascii="Times New Roman" w:hAnsi="Times New Roman" w:cs="Times New Roman"/>
          <w:sz w:val="24"/>
          <w:szCs w:val="24"/>
          <w:lang w:val="en-GB"/>
        </w:rPr>
        <w:t>.</w:t>
      </w:r>
      <w:r w:rsidR="002F09A9"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4"/>
      </w:r>
      <w:r w:rsidR="002F09A9" w:rsidRPr="00497A81">
        <w:rPr>
          <w:rFonts w:ascii="Times New Roman" w:eastAsia="Times New Roman" w:hAnsi="Times New Roman" w:cs="Times New Roman"/>
          <w:color w:val="000000"/>
          <w:sz w:val="24"/>
          <w:szCs w:val="24"/>
          <w:shd w:val="clear" w:color="auto" w:fill="FFFFFF"/>
          <w:lang w:val="en-GB" w:eastAsia="de-DE"/>
        </w:rPr>
        <w:t xml:space="preserve"> </w:t>
      </w:r>
      <w:r w:rsidR="002F672B" w:rsidRPr="00497A81">
        <w:rPr>
          <w:rFonts w:ascii="Times New Roman" w:eastAsia="Times New Roman" w:hAnsi="Times New Roman" w:cs="Times New Roman"/>
          <w:color w:val="000000"/>
          <w:sz w:val="24"/>
          <w:szCs w:val="24"/>
          <w:shd w:val="clear" w:color="auto" w:fill="FFFFFF"/>
          <w:lang w:val="en-GB" w:eastAsia="de-DE"/>
        </w:rPr>
        <w:t xml:space="preserve">No property position, just expectations. </w:t>
      </w:r>
      <w:r w:rsidR="002D141B" w:rsidRPr="00497A81">
        <w:rPr>
          <w:rFonts w:ascii="Times New Roman" w:eastAsia="Times New Roman" w:hAnsi="Times New Roman" w:cs="Times New Roman"/>
          <w:color w:val="000000"/>
          <w:sz w:val="24"/>
          <w:szCs w:val="24"/>
          <w:shd w:val="clear" w:color="auto" w:fill="FFFFFF"/>
          <w:lang w:val="en-GB" w:eastAsia="de-DE"/>
        </w:rPr>
        <w:t>Here it is interesting to note a first</w:t>
      </w:r>
      <w:r w:rsidR="00520105" w:rsidRPr="00497A81">
        <w:rPr>
          <w:rFonts w:ascii="Times New Roman" w:eastAsia="Times New Roman" w:hAnsi="Times New Roman" w:cs="Times New Roman"/>
          <w:color w:val="000000"/>
          <w:sz w:val="24"/>
          <w:szCs w:val="24"/>
          <w:shd w:val="clear" w:color="auto" w:fill="FFFFFF"/>
          <w:lang w:val="en-GB" w:eastAsia="de-DE"/>
        </w:rPr>
        <w:t xml:space="preserve"> normative</w:t>
      </w:r>
      <w:r w:rsidR="002D141B" w:rsidRPr="00497A81">
        <w:rPr>
          <w:rFonts w:ascii="Times New Roman" w:eastAsia="Times New Roman" w:hAnsi="Times New Roman" w:cs="Times New Roman"/>
          <w:color w:val="000000"/>
          <w:sz w:val="24"/>
          <w:szCs w:val="24"/>
          <w:shd w:val="clear" w:color="auto" w:fill="FFFFFF"/>
          <w:lang w:val="en-GB" w:eastAsia="de-DE"/>
        </w:rPr>
        <w:t xml:space="preserve"> symmetry between the shareholder and the consumer. They are both residual claimants. The shareholder is entitled to all the monetary benefits remaining after the other factors of production have been paid. Similarly, the consumer is entitled to all the welfare that consumption gives him once the market price of the good or service has been paid. In both cases, this residue can be high or low, or even negative.</w:t>
      </w:r>
    </w:p>
    <w:p w14:paraId="538EC9DD" w14:textId="5455021F" w:rsidR="00A65A17" w:rsidRPr="00497A81" w:rsidRDefault="00D20E01" w:rsidP="009339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Indeed,</w:t>
      </w:r>
      <w:r w:rsidR="002F09A9" w:rsidRPr="00497A81">
        <w:rPr>
          <w:rFonts w:ascii="Times New Roman" w:eastAsia="Times New Roman" w:hAnsi="Times New Roman" w:cs="Times New Roman"/>
          <w:color w:val="000000"/>
          <w:sz w:val="24"/>
          <w:szCs w:val="24"/>
          <w:shd w:val="clear" w:color="auto" w:fill="FFFFFF"/>
          <w:lang w:val="en-GB" w:eastAsia="de-DE"/>
        </w:rPr>
        <w:t xml:space="preserve"> principal agen</w:t>
      </w:r>
      <w:r w:rsidRPr="00497A81">
        <w:rPr>
          <w:rFonts w:ascii="Times New Roman" w:eastAsia="Times New Roman" w:hAnsi="Times New Roman" w:cs="Times New Roman"/>
          <w:color w:val="000000"/>
          <w:sz w:val="24"/>
          <w:szCs w:val="24"/>
          <w:shd w:val="clear" w:color="auto" w:fill="FFFFFF"/>
          <w:lang w:val="en-GB" w:eastAsia="de-DE"/>
        </w:rPr>
        <w:t>t</w:t>
      </w:r>
      <w:r w:rsidR="002F09A9" w:rsidRPr="00497A81">
        <w:rPr>
          <w:rFonts w:ascii="Times New Roman" w:eastAsia="Times New Roman" w:hAnsi="Times New Roman" w:cs="Times New Roman"/>
          <w:color w:val="000000"/>
          <w:sz w:val="24"/>
          <w:szCs w:val="24"/>
          <w:shd w:val="clear" w:color="auto" w:fill="FFFFFF"/>
          <w:lang w:val="en-GB" w:eastAsia="de-DE"/>
        </w:rPr>
        <w:t xml:space="preserve"> theory gives a strange perspective or image of the real power relationship between managers and shareholders</w:t>
      </w:r>
      <w:r w:rsidRPr="00497A81">
        <w:rPr>
          <w:rFonts w:ascii="Times New Roman" w:eastAsia="Times New Roman" w:hAnsi="Times New Roman" w:cs="Times New Roman"/>
          <w:color w:val="000000"/>
          <w:sz w:val="24"/>
          <w:szCs w:val="24"/>
          <w:shd w:val="clear" w:color="auto" w:fill="FFFFFF"/>
          <w:lang w:val="en-GB" w:eastAsia="de-DE"/>
        </w:rPr>
        <w:t>. I</w:t>
      </w:r>
      <w:r w:rsidR="002F09A9" w:rsidRPr="00497A81">
        <w:rPr>
          <w:rFonts w:ascii="Times New Roman" w:eastAsia="Times New Roman" w:hAnsi="Times New Roman" w:cs="Times New Roman"/>
          <w:color w:val="000000"/>
          <w:sz w:val="24"/>
          <w:szCs w:val="24"/>
          <w:shd w:val="clear" w:color="auto" w:fill="FFFFFF"/>
          <w:lang w:val="en-GB" w:eastAsia="de-DE"/>
        </w:rPr>
        <w:t xml:space="preserve">t is </w:t>
      </w:r>
      <w:r w:rsidR="002F09A9" w:rsidRPr="00497A81">
        <w:rPr>
          <w:rFonts w:ascii="Times New Roman" w:eastAsia="Times New Roman" w:hAnsi="Times New Roman" w:cs="Times New Roman"/>
          <w:i/>
          <w:color w:val="000000"/>
          <w:sz w:val="24"/>
          <w:szCs w:val="24"/>
          <w:shd w:val="clear" w:color="auto" w:fill="FFFFFF"/>
          <w:lang w:val="en-GB" w:eastAsia="de-DE"/>
        </w:rPr>
        <w:t>unrealistic</w:t>
      </w:r>
      <w:r w:rsidR="002F09A9" w:rsidRPr="00497A81">
        <w:rPr>
          <w:rFonts w:ascii="Times New Roman" w:eastAsia="Times New Roman" w:hAnsi="Times New Roman" w:cs="Times New Roman"/>
          <w:color w:val="000000"/>
          <w:sz w:val="24"/>
          <w:szCs w:val="24"/>
          <w:shd w:val="clear" w:color="auto" w:fill="FFFFFF"/>
          <w:lang w:val="en-GB" w:eastAsia="de-DE"/>
        </w:rPr>
        <w:t xml:space="preserve"> to conceive of a powerful </w:t>
      </w:r>
      <w:r w:rsidR="002F09A9" w:rsidRPr="00497A81">
        <w:rPr>
          <w:rFonts w:ascii="Times New Roman" w:eastAsia="Times New Roman" w:hAnsi="Times New Roman" w:cs="Times New Roman"/>
          <w:color w:val="000000"/>
          <w:sz w:val="24"/>
          <w:szCs w:val="24"/>
          <w:shd w:val="clear" w:color="auto" w:fill="FFFFFF"/>
          <w:lang w:val="en-GB" w:eastAsia="de-DE"/>
        </w:rPr>
        <w:lastRenderedPageBreak/>
        <w:t>CEO as a mere agent of a (group of dispersed) small investor(s), and a sociological perception could never be that of the sharehold</w:t>
      </w:r>
      <w:r w:rsidR="002F672B" w:rsidRPr="00497A81">
        <w:rPr>
          <w:rFonts w:ascii="Times New Roman" w:eastAsia="Times New Roman" w:hAnsi="Times New Roman" w:cs="Times New Roman"/>
          <w:color w:val="000000"/>
          <w:sz w:val="24"/>
          <w:szCs w:val="24"/>
          <w:shd w:val="clear" w:color="auto" w:fill="FFFFFF"/>
          <w:lang w:val="en-GB" w:eastAsia="de-DE"/>
        </w:rPr>
        <w:t>er act</w:t>
      </w:r>
      <w:r w:rsidR="00AC0611" w:rsidRPr="00497A81">
        <w:rPr>
          <w:rFonts w:ascii="Times New Roman" w:eastAsia="Times New Roman" w:hAnsi="Times New Roman" w:cs="Times New Roman"/>
          <w:color w:val="000000"/>
          <w:sz w:val="24"/>
          <w:szCs w:val="24"/>
          <w:shd w:val="clear" w:color="auto" w:fill="FFFFFF"/>
          <w:lang w:val="en-GB" w:eastAsia="de-DE"/>
        </w:rPr>
        <w:t>ing</w:t>
      </w:r>
      <w:r w:rsidR="002F672B" w:rsidRPr="00497A81">
        <w:rPr>
          <w:rFonts w:ascii="Times New Roman" w:eastAsia="Times New Roman" w:hAnsi="Times New Roman" w:cs="Times New Roman"/>
          <w:color w:val="000000"/>
          <w:sz w:val="24"/>
          <w:szCs w:val="24"/>
          <w:shd w:val="clear" w:color="auto" w:fill="FFFFFF"/>
          <w:lang w:val="en-GB" w:eastAsia="de-DE"/>
        </w:rPr>
        <w:t xml:space="preserve"> in a role of ‘principal’</w:t>
      </w:r>
      <w:r w:rsidR="002F09A9" w:rsidRPr="00497A81">
        <w:rPr>
          <w:rFonts w:ascii="Times New Roman" w:eastAsia="Times New Roman" w:hAnsi="Times New Roman" w:cs="Times New Roman"/>
          <w:color w:val="000000"/>
          <w:sz w:val="24"/>
          <w:szCs w:val="24"/>
          <w:shd w:val="clear" w:color="auto" w:fill="FFFFFF"/>
          <w:lang w:val="en-GB" w:eastAsia="de-DE"/>
        </w:rPr>
        <w:t>.</w:t>
      </w:r>
      <w:r w:rsidR="002F09A9"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5"/>
      </w:r>
      <w:r w:rsidR="002F09A9" w:rsidRPr="00497A81">
        <w:rPr>
          <w:rFonts w:ascii="Times New Roman" w:eastAsia="Times New Roman" w:hAnsi="Times New Roman" w:cs="Times New Roman"/>
          <w:color w:val="000000"/>
          <w:sz w:val="24"/>
          <w:szCs w:val="24"/>
          <w:shd w:val="clear" w:color="auto" w:fill="FFFFFF"/>
          <w:lang w:val="en-GB" w:eastAsia="de-DE"/>
        </w:rPr>
        <w:t xml:space="preserve"> </w:t>
      </w:r>
      <w:r w:rsidR="002F672B" w:rsidRPr="00497A81">
        <w:rPr>
          <w:rFonts w:ascii="Times New Roman" w:eastAsia="Times New Roman" w:hAnsi="Times New Roman" w:cs="Times New Roman"/>
          <w:color w:val="000000"/>
          <w:sz w:val="24"/>
          <w:szCs w:val="24"/>
          <w:shd w:val="clear" w:color="auto" w:fill="FFFFFF"/>
          <w:lang w:val="en-GB" w:eastAsia="de-DE"/>
        </w:rPr>
        <w:t xml:space="preserve">All this conceded, it can nevertheless not be neglected that the starting point taken in mainstream economics is still this: </w:t>
      </w:r>
      <w:r w:rsidR="002F09A9" w:rsidRPr="00497A81">
        <w:rPr>
          <w:rFonts w:ascii="Times New Roman" w:eastAsia="Times New Roman" w:hAnsi="Times New Roman" w:cs="Times New Roman"/>
          <w:color w:val="000000"/>
          <w:sz w:val="24"/>
          <w:szCs w:val="24"/>
          <w:shd w:val="clear" w:color="auto" w:fill="FFFFFF"/>
          <w:lang w:val="en-GB" w:eastAsia="de-DE"/>
        </w:rPr>
        <w:t xml:space="preserve">The whole of the theory of corporate finance and decision </w:t>
      </w:r>
      <w:r w:rsidRPr="00497A81">
        <w:rPr>
          <w:rFonts w:ascii="Times New Roman" w:eastAsia="Times New Roman" w:hAnsi="Times New Roman" w:cs="Times New Roman"/>
          <w:color w:val="000000"/>
          <w:sz w:val="24"/>
          <w:szCs w:val="24"/>
          <w:shd w:val="clear" w:color="auto" w:fill="FFFFFF"/>
          <w:lang w:val="en-GB" w:eastAsia="de-DE"/>
        </w:rPr>
        <w:t>m</w:t>
      </w:r>
      <w:r w:rsidR="002F09A9" w:rsidRPr="00497A81">
        <w:rPr>
          <w:rFonts w:ascii="Times New Roman" w:eastAsia="Times New Roman" w:hAnsi="Times New Roman" w:cs="Times New Roman"/>
          <w:color w:val="000000"/>
          <w:sz w:val="24"/>
          <w:szCs w:val="24"/>
          <w:shd w:val="clear" w:color="auto" w:fill="FFFFFF"/>
          <w:lang w:val="en-GB" w:eastAsia="de-DE"/>
        </w:rPr>
        <w:t>aking, thereby also of c</w:t>
      </w:r>
      <w:r w:rsidR="002F672B" w:rsidRPr="00497A81">
        <w:rPr>
          <w:rFonts w:ascii="Times New Roman" w:eastAsia="Times New Roman" w:hAnsi="Times New Roman" w:cs="Times New Roman"/>
          <w:color w:val="000000"/>
          <w:sz w:val="24"/>
          <w:szCs w:val="24"/>
          <w:shd w:val="clear" w:color="auto" w:fill="FFFFFF"/>
          <w:lang w:val="en-GB" w:eastAsia="de-DE"/>
        </w:rPr>
        <w:t>orporate governance is</w:t>
      </w:r>
      <w:r w:rsidR="002F09A9" w:rsidRPr="00497A81">
        <w:rPr>
          <w:rFonts w:ascii="Times New Roman" w:eastAsia="Times New Roman" w:hAnsi="Times New Roman" w:cs="Times New Roman"/>
          <w:color w:val="000000"/>
          <w:sz w:val="24"/>
          <w:szCs w:val="24"/>
          <w:shd w:val="clear" w:color="auto" w:fill="FFFFFF"/>
          <w:lang w:val="en-GB" w:eastAsia="de-DE"/>
        </w:rPr>
        <w:t xml:space="preserve"> based on </w:t>
      </w:r>
      <w:r w:rsidR="002F672B" w:rsidRPr="00497A81">
        <w:rPr>
          <w:rFonts w:ascii="Times New Roman" w:eastAsia="Times New Roman" w:hAnsi="Times New Roman" w:cs="Times New Roman"/>
          <w:color w:val="000000"/>
          <w:sz w:val="24"/>
          <w:szCs w:val="24"/>
          <w:shd w:val="clear" w:color="auto" w:fill="FFFFFF"/>
          <w:lang w:val="en-GB" w:eastAsia="de-DE"/>
        </w:rPr>
        <w:t xml:space="preserve">a model in which </w:t>
      </w:r>
      <w:r w:rsidR="002F09A9" w:rsidRPr="00497A81">
        <w:rPr>
          <w:rFonts w:ascii="Times New Roman" w:eastAsia="Times New Roman" w:hAnsi="Times New Roman" w:cs="Times New Roman"/>
          <w:color w:val="000000"/>
          <w:sz w:val="24"/>
          <w:szCs w:val="24"/>
          <w:shd w:val="clear" w:color="auto" w:fill="FFFFFF"/>
          <w:lang w:val="en-GB" w:eastAsia="de-DE"/>
        </w:rPr>
        <w:t xml:space="preserve">the shareholder is </w:t>
      </w:r>
      <w:r w:rsidRPr="00497A81">
        <w:rPr>
          <w:rFonts w:ascii="Times New Roman" w:eastAsia="Times New Roman" w:hAnsi="Times New Roman" w:cs="Times New Roman"/>
          <w:color w:val="000000"/>
          <w:sz w:val="24"/>
          <w:szCs w:val="24"/>
          <w:shd w:val="clear" w:color="auto" w:fill="FFFFFF"/>
          <w:lang w:val="en-GB" w:eastAsia="de-DE"/>
        </w:rPr>
        <w:t xml:space="preserve">the </w:t>
      </w:r>
      <w:r w:rsidR="002F09A9" w:rsidRPr="00497A81">
        <w:rPr>
          <w:rFonts w:ascii="Times New Roman" w:eastAsia="Times New Roman" w:hAnsi="Times New Roman" w:cs="Times New Roman"/>
          <w:color w:val="000000"/>
          <w:sz w:val="24"/>
          <w:szCs w:val="24"/>
          <w:shd w:val="clear" w:color="auto" w:fill="FFFFFF"/>
          <w:lang w:val="en-GB" w:eastAsia="de-DE"/>
        </w:rPr>
        <w:t xml:space="preserve">principal, endowed with ultimate decision </w:t>
      </w:r>
      <w:r w:rsidRPr="00497A81">
        <w:rPr>
          <w:rFonts w:ascii="Times New Roman" w:eastAsia="Times New Roman" w:hAnsi="Times New Roman" w:cs="Times New Roman"/>
          <w:color w:val="000000"/>
          <w:sz w:val="24"/>
          <w:szCs w:val="24"/>
          <w:shd w:val="clear" w:color="auto" w:fill="FFFFFF"/>
          <w:lang w:val="en-GB" w:eastAsia="de-DE"/>
        </w:rPr>
        <w:t>m</w:t>
      </w:r>
      <w:r w:rsidR="002F09A9" w:rsidRPr="00497A81">
        <w:rPr>
          <w:rFonts w:ascii="Times New Roman" w:eastAsia="Times New Roman" w:hAnsi="Times New Roman" w:cs="Times New Roman"/>
          <w:color w:val="000000"/>
          <w:sz w:val="24"/>
          <w:szCs w:val="24"/>
          <w:shd w:val="clear" w:color="auto" w:fill="FFFFFF"/>
          <w:lang w:val="en-GB" w:eastAsia="de-DE"/>
        </w:rPr>
        <w:t xml:space="preserve">aking power, carrying the ultimate risk and having a right to the residual gain. And, as will be seen, there are very strong reasons for such a concept, especially if one </w:t>
      </w:r>
      <w:r w:rsidR="00EC0A2E" w:rsidRPr="00497A81">
        <w:rPr>
          <w:rFonts w:ascii="Times New Roman" w:eastAsia="Times New Roman" w:hAnsi="Times New Roman" w:cs="Times New Roman"/>
          <w:color w:val="000000"/>
          <w:sz w:val="24"/>
          <w:szCs w:val="24"/>
          <w:shd w:val="clear" w:color="auto" w:fill="FFFFFF"/>
          <w:lang w:val="en-GB" w:eastAsia="de-DE"/>
        </w:rPr>
        <w:t>considers</w:t>
      </w:r>
      <w:r w:rsidR="002F09A9" w:rsidRPr="00497A81">
        <w:rPr>
          <w:rFonts w:ascii="Times New Roman" w:eastAsia="Times New Roman" w:hAnsi="Times New Roman" w:cs="Times New Roman"/>
          <w:color w:val="000000"/>
          <w:sz w:val="24"/>
          <w:szCs w:val="24"/>
          <w:shd w:val="clear" w:color="auto" w:fill="FFFFFF"/>
          <w:lang w:val="en-GB" w:eastAsia="de-DE"/>
        </w:rPr>
        <w:t xml:space="preserve"> the </w:t>
      </w:r>
      <w:r w:rsidR="00EC0A2E" w:rsidRPr="00497A81">
        <w:rPr>
          <w:rFonts w:ascii="Times New Roman" w:eastAsia="Times New Roman" w:hAnsi="Times New Roman" w:cs="Times New Roman"/>
          <w:color w:val="000000"/>
          <w:sz w:val="24"/>
          <w:szCs w:val="24"/>
          <w:shd w:val="clear" w:color="auto" w:fill="FFFFFF"/>
          <w:lang w:val="en-GB" w:eastAsia="de-DE"/>
        </w:rPr>
        <w:t xml:space="preserve">way incentives for the individual decision </w:t>
      </w:r>
      <w:r w:rsidRPr="00497A81">
        <w:rPr>
          <w:rFonts w:ascii="Times New Roman" w:eastAsia="Times New Roman" w:hAnsi="Times New Roman" w:cs="Times New Roman"/>
          <w:color w:val="000000"/>
          <w:sz w:val="24"/>
          <w:szCs w:val="24"/>
          <w:shd w:val="clear" w:color="auto" w:fill="FFFFFF"/>
          <w:lang w:val="en-GB" w:eastAsia="de-DE"/>
        </w:rPr>
        <w:t>m</w:t>
      </w:r>
      <w:r w:rsidR="00EC0A2E" w:rsidRPr="00497A81">
        <w:rPr>
          <w:rFonts w:ascii="Times New Roman" w:eastAsia="Times New Roman" w:hAnsi="Times New Roman" w:cs="Times New Roman"/>
          <w:color w:val="000000"/>
          <w:sz w:val="24"/>
          <w:szCs w:val="24"/>
          <w:shd w:val="clear" w:color="auto" w:fill="FFFFFF"/>
          <w:lang w:val="en-GB" w:eastAsia="de-DE"/>
        </w:rPr>
        <w:t xml:space="preserve">akers are framed by this concept. </w:t>
      </w:r>
      <w:r w:rsidR="002F09A9" w:rsidRPr="00497A81">
        <w:rPr>
          <w:rFonts w:ascii="Times New Roman" w:eastAsia="Times New Roman" w:hAnsi="Times New Roman" w:cs="Times New Roman"/>
          <w:color w:val="000000"/>
          <w:sz w:val="24"/>
          <w:szCs w:val="24"/>
          <w:shd w:val="clear" w:color="auto" w:fill="FFFFFF"/>
          <w:lang w:val="en-GB" w:eastAsia="de-DE"/>
        </w:rPr>
        <w:t>Therefore</w:t>
      </w:r>
      <w:r w:rsidR="002F672B" w:rsidRPr="00497A81">
        <w:rPr>
          <w:rFonts w:ascii="Times New Roman" w:eastAsia="Times New Roman" w:hAnsi="Times New Roman" w:cs="Times New Roman"/>
          <w:color w:val="000000"/>
          <w:sz w:val="24"/>
          <w:szCs w:val="24"/>
          <w:shd w:val="clear" w:color="auto" w:fill="FFFFFF"/>
          <w:lang w:val="en-GB" w:eastAsia="de-DE"/>
        </w:rPr>
        <w:t>,</w:t>
      </w:r>
      <w:r w:rsidR="002F09A9" w:rsidRPr="00497A81">
        <w:rPr>
          <w:rFonts w:ascii="Times New Roman" w:eastAsia="Times New Roman" w:hAnsi="Times New Roman" w:cs="Times New Roman"/>
          <w:color w:val="000000"/>
          <w:sz w:val="24"/>
          <w:szCs w:val="24"/>
          <w:shd w:val="clear" w:color="auto" w:fill="FFFFFF"/>
          <w:lang w:val="en-GB" w:eastAsia="de-DE"/>
        </w:rPr>
        <w:t xml:space="preserve"> the firm as an organization and its regulation is </w:t>
      </w:r>
      <w:r w:rsidR="002F09A9" w:rsidRPr="00497A81">
        <w:rPr>
          <w:rFonts w:ascii="Times New Roman" w:eastAsia="Times New Roman" w:hAnsi="Times New Roman" w:cs="Times New Roman"/>
          <w:i/>
          <w:color w:val="000000"/>
          <w:sz w:val="24"/>
          <w:szCs w:val="24"/>
          <w:shd w:val="clear" w:color="auto" w:fill="FFFFFF"/>
          <w:lang w:val="en-GB" w:eastAsia="de-DE"/>
        </w:rPr>
        <w:t>normatively</w:t>
      </w:r>
      <w:r w:rsidR="002F09A9" w:rsidRPr="00497A81">
        <w:rPr>
          <w:rFonts w:ascii="Times New Roman" w:eastAsia="Times New Roman" w:hAnsi="Times New Roman" w:cs="Times New Roman"/>
          <w:color w:val="000000"/>
          <w:sz w:val="24"/>
          <w:szCs w:val="24"/>
          <w:shd w:val="clear" w:color="auto" w:fill="FFFFFF"/>
          <w:lang w:val="en-GB" w:eastAsia="de-DE"/>
        </w:rPr>
        <w:t xml:space="preserve"> aimed at – as ultimate goal – the furthering of the interest of the principal</w:t>
      </w:r>
      <w:r w:rsidRPr="00497A81">
        <w:rPr>
          <w:rFonts w:ascii="Times New Roman" w:eastAsia="Times New Roman" w:hAnsi="Times New Roman" w:cs="Times New Roman"/>
          <w:color w:val="000000"/>
          <w:sz w:val="24"/>
          <w:szCs w:val="24"/>
          <w:shd w:val="clear" w:color="auto" w:fill="FFFFFF"/>
          <w:lang w:val="en-GB" w:eastAsia="de-DE"/>
        </w:rPr>
        <w:t>, that is, the investors</w:t>
      </w:r>
      <w:r w:rsidR="002F09A9" w:rsidRPr="00497A81">
        <w:rPr>
          <w:rFonts w:ascii="Times New Roman" w:eastAsia="Times New Roman" w:hAnsi="Times New Roman" w:cs="Times New Roman"/>
          <w:color w:val="000000"/>
          <w:sz w:val="24"/>
          <w:szCs w:val="24"/>
          <w:shd w:val="clear" w:color="auto" w:fill="FFFFFF"/>
          <w:lang w:val="en-GB" w:eastAsia="de-DE"/>
        </w:rPr>
        <w:t>.</w:t>
      </w:r>
      <w:r w:rsidR="002F09A9"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6"/>
      </w:r>
      <w:r w:rsidR="002D141B" w:rsidRPr="00497A81">
        <w:rPr>
          <w:rFonts w:ascii="Times New Roman" w:eastAsia="Times New Roman" w:hAnsi="Times New Roman" w:cs="Times New Roman"/>
          <w:color w:val="000000"/>
          <w:sz w:val="24"/>
          <w:szCs w:val="24"/>
          <w:shd w:val="clear" w:color="auto" w:fill="FFFFFF"/>
          <w:lang w:val="en-GB" w:eastAsia="de-DE"/>
        </w:rPr>
        <w:t xml:space="preserve"> And again, there is a</w:t>
      </w:r>
      <w:r w:rsidR="00520105" w:rsidRPr="00497A81">
        <w:rPr>
          <w:rFonts w:ascii="Times New Roman" w:eastAsia="Times New Roman" w:hAnsi="Times New Roman" w:cs="Times New Roman"/>
          <w:color w:val="000000"/>
          <w:sz w:val="24"/>
          <w:szCs w:val="24"/>
          <w:shd w:val="clear" w:color="auto" w:fill="FFFFFF"/>
          <w:lang w:val="en-GB" w:eastAsia="de-DE"/>
        </w:rPr>
        <w:t xml:space="preserve"> normative</w:t>
      </w:r>
      <w:r w:rsidR="002D141B" w:rsidRPr="00497A81">
        <w:rPr>
          <w:rFonts w:ascii="Times New Roman" w:eastAsia="Times New Roman" w:hAnsi="Times New Roman" w:cs="Times New Roman"/>
          <w:color w:val="000000"/>
          <w:sz w:val="24"/>
          <w:szCs w:val="24"/>
          <w:shd w:val="clear" w:color="auto" w:fill="FFFFFF"/>
          <w:lang w:val="en-GB" w:eastAsia="de-DE"/>
        </w:rPr>
        <w:t xml:space="preserve"> symmetry with the </w:t>
      </w:r>
      <w:r w:rsidR="008F1AB5">
        <w:rPr>
          <w:rFonts w:ascii="Times New Roman" w:eastAsia="Times New Roman" w:hAnsi="Times New Roman" w:cs="Times New Roman"/>
          <w:color w:val="000000"/>
          <w:sz w:val="24"/>
          <w:szCs w:val="24"/>
          <w:shd w:val="clear" w:color="auto" w:fill="FFFFFF"/>
          <w:lang w:val="en-GB" w:eastAsia="de-DE"/>
        </w:rPr>
        <w:t>entrepreneur</w:t>
      </w:r>
      <w:r w:rsidR="002D141B" w:rsidRPr="00497A81">
        <w:rPr>
          <w:rFonts w:ascii="Times New Roman" w:eastAsia="Times New Roman" w:hAnsi="Times New Roman" w:cs="Times New Roman"/>
          <w:color w:val="000000"/>
          <w:sz w:val="24"/>
          <w:szCs w:val="24"/>
          <w:shd w:val="clear" w:color="auto" w:fill="FFFFFF"/>
          <w:lang w:val="en-GB" w:eastAsia="de-DE"/>
        </w:rPr>
        <w:t xml:space="preserve">-consumer relation. Also in this </w:t>
      </w:r>
      <w:r w:rsidR="00520105" w:rsidRPr="00497A81">
        <w:rPr>
          <w:rFonts w:ascii="Times New Roman" w:eastAsia="Times New Roman" w:hAnsi="Times New Roman" w:cs="Times New Roman"/>
          <w:color w:val="000000"/>
          <w:sz w:val="24"/>
          <w:szCs w:val="24"/>
          <w:shd w:val="clear" w:color="auto" w:fill="FFFFFF"/>
          <w:lang w:val="en-GB" w:eastAsia="de-DE"/>
        </w:rPr>
        <w:t>relation</w:t>
      </w:r>
      <w:r w:rsidR="002D141B" w:rsidRPr="00497A81">
        <w:rPr>
          <w:rFonts w:ascii="Times New Roman" w:eastAsia="Times New Roman" w:hAnsi="Times New Roman" w:cs="Times New Roman"/>
          <w:color w:val="000000"/>
          <w:sz w:val="24"/>
          <w:szCs w:val="24"/>
          <w:shd w:val="clear" w:color="auto" w:fill="FFFFFF"/>
          <w:lang w:val="en-GB" w:eastAsia="de-DE"/>
        </w:rPr>
        <w:t xml:space="preserve"> the consumer is generally conceived of as an intrinsically weaker party.</w:t>
      </w:r>
      <w:r w:rsidR="00520105" w:rsidRPr="00497A81">
        <w:rPr>
          <w:rFonts w:ascii="Times New Roman" w:eastAsia="Times New Roman" w:hAnsi="Times New Roman" w:cs="Times New Roman"/>
          <w:color w:val="000000"/>
          <w:sz w:val="24"/>
          <w:szCs w:val="24"/>
          <w:shd w:val="clear" w:color="auto" w:fill="FFFFFF"/>
          <w:lang w:val="en-GB" w:eastAsia="de-DE"/>
        </w:rPr>
        <w:t xml:space="preserve"> At most, the discrepancy between the normative status and the factual condition of principals confirms the existence of a preliminary case in favour of regulation</w:t>
      </w:r>
      <w:r w:rsidR="008F1AB5">
        <w:rPr>
          <w:rFonts w:ascii="Times New Roman" w:eastAsia="Times New Roman" w:hAnsi="Times New Roman" w:cs="Times New Roman"/>
          <w:color w:val="000000"/>
          <w:sz w:val="24"/>
          <w:szCs w:val="24"/>
          <w:shd w:val="clear" w:color="auto" w:fill="FFFFFF"/>
          <w:lang w:val="en-GB" w:eastAsia="de-DE"/>
        </w:rPr>
        <w:t>: there is a failure in the unregulated functioning of the considered institution</w:t>
      </w:r>
      <w:r w:rsidR="00520105" w:rsidRPr="00497A81">
        <w:rPr>
          <w:rFonts w:ascii="Times New Roman" w:eastAsia="Times New Roman" w:hAnsi="Times New Roman" w:cs="Times New Roman"/>
          <w:color w:val="000000"/>
          <w:sz w:val="24"/>
          <w:szCs w:val="24"/>
          <w:shd w:val="clear" w:color="auto" w:fill="FFFFFF"/>
          <w:lang w:val="en-GB" w:eastAsia="de-DE"/>
        </w:rPr>
        <w:t>.</w:t>
      </w:r>
      <w:r w:rsidR="00520105"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7"/>
      </w:r>
      <w:r w:rsidR="0051688B" w:rsidRPr="00497A81">
        <w:rPr>
          <w:rFonts w:ascii="Times New Roman" w:eastAsia="Times New Roman" w:hAnsi="Times New Roman" w:cs="Times New Roman"/>
          <w:color w:val="000000"/>
          <w:sz w:val="24"/>
          <w:szCs w:val="24"/>
          <w:shd w:val="clear" w:color="auto" w:fill="FFFFFF"/>
          <w:lang w:val="en-GB" w:eastAsia="de-DE"/>
        </w:rPr>
        <w:t xml:space="preserve"> However, and this is the anomaly in our view, the mainstream microeconomic market rationale does not conceive of consumers as holding a normatively privileged position.</w:t>
      </w:r>
    </w:p>
    <w:p w14:paraId="3A68A1FE" w14:textId="65E1E1D3" w:rsidR="007E063F" w:rsidRPr="00497A81" w:rsidRDefault="00933929" w:rsidP="00431D43">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b) When we turn to the question </w:t>
      </w:r>
      <w:r w:rsidR="00D20E01" w:rsidRPr="00497A81">
        <w:rPr>
          <w:rFonts w:ascii="Times New Roman" w:eastAsia="Times New Roman" w:hAnsi="Times New Roman" w:cs="Times New Roman"/>
          <w:color w:val="000000"/>
          <w:sz w:val="24"/>
          <w:szCs w:val="24"/>
          <w:shd w:val="clear" w:color="auto" w:fill="FFFFFF"/>
          <w:lang w:val="en-GB" w:eastAsia="de-DE"/>
        </w:rPr>
        <w:t xml:space="preserve">of </w:t>
      </w:r>
      <w:r w:rsidRPr="00497A81">
        <w:rPr>
          <w:rFonts w:ascii="Times New Roman" w:eastAsia="Times New Roman" w:hAnsi="Times New Roman" w:cs="Times New Roman"/>
          <w:color w:val="000000"/>
          <w:sz w:val="24"/>
          <w:szCs w:val="24"/>
          <w:shd w:val="clear" w:color="auto" w:fill="FFFFFF"/>
          <w:lang w:val="en-GB" w:eastAsia="de-DE"/>
        </w:rPr>
        <w:t xml:space="preserve">whether the role of shareholders/investors is really so different from that of consumers/clients in their relationship to directors as the prime decision </w:t>
      </w:r>
      <w:r w:rsidR="002D141B" w:rsidRPr="00497A81">
        <w:rPr>
          <w:rFonts w:ascii="Times New Roman" w:eastAsia="Times New Roman" w:hAnsi="Times New Roman" w:cs="Times New Roman"/>
          <w:color w:val="000000"/>
          <w:sz w:val="24"/>
          <w:szCs w:val="24"/>
          <w:shd w:val="clear" w:color="auto" w:fill="FFFFFF"/>
          <w:lang w:val="en-GB" w:eastAsia="de-DE"/>
        </w:rPr>
        <w:t>m</w:t>
      </w:r>
      <w:r w:rsidRPr="00497A81">
        <w:rPr>
          <w:rFonts w:ascii="Times New Roman" w:eastAsia="Times New Roman" w:hAnsi="Times New Roman" w:cs="Times New Roman"/>
          <w:color w:val="000000"/>
          <w:sz w:val="24"/>
          <w:szCs w:val="24"/>
          <w:shd w:val="clear" w:color="auto" w:fill="FFFFFF"/>
          <w:lang w:val="en-GB" w:eastAsia="de-DE"/>
        </w:rPr>
        <w:t>akers in firms, serious doubts arise.</w:t>
      </w:r>
      <w:r w:rsidR="002D141B" w:rsidRPr="00497A81">
        <w:rPr>
          <w:rFonts w:ascii="Times New Roman" w:eastAsia="Times New Roman" w:hAnsi="Times New Roman" w:cs="Times New Roman"/>
          <w:color w:val="000000"/>
          <w:sz w:val="24"/>
          <w:szCs w:val="24"/>
          <w:shd w:val="clear" w:color="auto" w:fill="FFFFFF"/>
          <w:lang w:val="en-GB" w:eastAsia="de-DE"/>
        </w:rPr>
        <w:t xml:space="preserve"> The core concept for making our case is consumer sovereignty.</w:t>
      </w:r>
      <w:r w:rsidR="00A901D6" w:rsidRPr="00497A81">
        <w:rPr>
          <w:rFonts w:ascii="Times New Roman" w:eastAsia="Times New Roman" w:hAnsi="Times New Roman" w:cs="Times New Roman"/>
          <w:color w:val="000000"/>
          <w:sz w:val="24"/>
          <w:szCs w:val="24"/>
          <w:shd w:val="clear" w:color="auto" w:fill="FFFFFF"/>
          <w:lang w:val="en-GB" w:eastAsia="de-DE"/>
        </w:rPr>
        <w:t xml:space="preserve"> This concept implies a principal-agent relation between the consumer and the entrepreneur.</w:t>
      </w:r>
      <w:r w:rsidR="002D141B" w:rsidRPr="00497A81">
        <w:rPr>
          <w:rFonts w:ascii="Times New Roman" w:eastAsia="Times New Roman" w:hAnsi="Times New Roman" w:cs="Times New Roman"/>
          <w:color w:val="000000"/>
          <w:sz w:val="24"/>
          <w:szCs w:val="24"/>
          <w:shd w:val="clear" w:color="auto" w:fill="FFFFFF"/>
          <w:lang w:val="en-GB" w:eastAsia="de-DE"/>
        </w:rPr>
        <w:t xml:space="preserve"> Consumer sovereignty is seldom mentioned by mainstream law and economics. A notable exception is Parisi’s </w:t>
      </w:r>
      <w:r w:rsidR="00EA3B80">
        <w:rPr>
          <w:rFonts w:ascii="Times New Roman" w:eastAsia="Times New Roman" w:hAnsi="Times New Roman" w:cs="Times New Roman"/>
          <w:i/>
          <w:color w:val="000000"/>
          <w:sz w:val="24"/>
          <w:szCs w:val="24"/>
          <w:shd w:val="clear" w:color="auto" w:fill="FFFFFF"/>
          <w:lang w:val="en-GB" w:eastAsia="de-DE"/>
        </w:rPr>
        <w:t xml:space="preserve">The </w:t>
      </w:r>
      <w:r w:rsidR="002D141B" w:rsidRPr="00497A81">
        <w:rPr>
          <w:rFonts w:ascii="Times New Roman" w:eastAsia="Times New Roman" w:hAnsi="Times New Roman" w:cs="Times New Roman"/>
          <w:i/>
          <w:color w:val="000000"/>
          <w:sz w:val="24"/>
          <w:szCs w:val="24"/>
          <w:shd w:val="clear" w:color="auto" w:fill="FFFFFF"/>
          <w:lang w:val="en-GB" w:eastAsia="de-DE"/>
        </w:rPr>
        <w:t>Language of Law and Economics</w:t>
      </w:r>
      <w:r w:rsidR="002610A1">
        <w:rPr>
          <w:rFonts w:ascii="Times New Roman" w:eastAsia="Times New Roman" w:hAnsi="Times New Roman" w:cs="Times New Roman"/>
          <w:color w:val="000000"/>
          <w:sz w:val="24"/>
          <w:szCs w:val="24"/>
          <w:shd w:val="clear" w:color="auto" w:fill="FFFFFF"/>
          <w:lang w:val="en-GB" w:eastAsia="de-DE"/>
        </w:rPr>
        <w:t>:</w:t>
      </w:r>
      <w:r w:rsidR="002D141B" w:rsidRPr="00497A81">
        <w:rPr>
          <w:rFonts w:ascii="Times New Roman" w:eastAsia="Times New Roman" w:hAnsi="Times New Roman" w:cs="Times New Roman"/>
          <w:color w:val="000000"/>
          <w:sz w:val="24"/>
          <w:szCs w:val="24"/>
          <w:shd w:val="clear" w:color="auto" w:fill="FFFFFF"/>
          <w:lang w:val="en-GB" w:eastAsia="de-DE"/>
        </w:rPr>
        <w:t xml:space="preserve"> </w:t>
      </w:r>
      <w:r w:rsidR="00EA3B80">
        <w:rPr>
          <w:rFonts w:ascii="Times New Roman" w:eastAsia="Times New Roman" w:hAnsi="Times New Roman" w:cs="Times New Roman"/>
          <w:color w:val="000000"/>
          <w:sz w:val="24"/>
          <w:szCs w:val="24"/>
          <w:shd w:val="clear" w:color="auto" w:fill="FFFFFF"/>
          <w:lang w:val="en-GB" w:eastAsia="de-DE"/>
        </w:rPr>
        <w:t>“Austrian law and economics scholars use the term “consumer sovereignty” to refer to the principle that the consumer is the best judge of the types and quantities of goods that should be produced by the economic system. ... Many economists believe that consumer sovereignty could be undermined by several factors” generally identified as market failures</w:t>
      </w:r>
      <w:r w:rsidR="002D141B" w:rsidRPr="00497A81">
        <w:rPr>
          <w:rFonts w:ascii="Times New Roman" w:eastAsia="Times New Roman" w:hAnsi="Times New Roman" w:cs="Times New Roman"/>
          <w:color w:val="000000"/>
          <w:sz w:val="24"/>
          <w:szCs w:val="24"/>
          <w:shd w:val="clear" w:color="auto" w:fill="FFFFFF"/>
          <w:lang w:val="en-GB" w:eastAsia="de-DE"/>
        </w:rPr>
        <w:t>.</w:t>
      </w:r>
      <w:r w:rsidR="00EA3B80">
        <w:rPr>
          <w:rStyle w:val="Rimandonotaapidipagina"/>
          <w:rFonts w:ascii="Times New Roman" w:eastAsia="Times New Roman" w:hAnsi="Times New Roman" w:cs="Times New Roman"/>
          <w:color w:val="000000"/>
          <w:sz w:val="24"/>
          <w:szCs w:val="24"/>
          <w:shd w:val="clear" w:color="auto" w:fill="FFFFFF"/>
          <w:lang w:val="en-GB" w:eastAsia="de-DE"/>
        </w:rPr>
        <w:footnoteReference w:id="28"/>
      </w:r>
      <w:r w:rsidRPr="00497A81">
        <w:rPr>
          <w:rFonts w:ascii="Times New Roman" w:eastAsia="Times New Roman" w:hAnsi="Times New Roman" w:cs="Times New Roman"/>
          <w:color w:val="000000"/>
          <w:sz w:val="24"/>
          <w:szCs w:val="24"/>
          <w:shd w:val="clear" w:color="auto" w:fill="FFFFFF"/>
          <w:lang w:val="en-GB" w:eastAsia="de-DE"/>
        </w:rPr>
        <w:t xml:space="preserve"> </w:t>
      </w:r>
      <w:r w:rsidR="000D474D">
        <w:rPr>
          <w:rFonts w:ascii="Times New Roman" w:eastAsia="Times New Roman" w:hAnsi="Times New Roman" w:cs="Times New Roman"/>
          <w:color w:val="000000"/>
          <w:sz w:val="24"/>
          <w:szCs w:val="24"/>
          <w:shd w:val="clear" w:color="auto" w:fill="FFFFFF"/>
          <w:lang w:val="en-GB" w:eastAsia="de-DE"/>
        </w:rPr>
        <w:t xml:space="preserve">Two points </w:t>
      </w:r>
      <w:r w:rsidR="00EA3B80">
        <w:rPr>
          <w:rFonts w:ascii="Times New Roman" w:eastAsia="Times New Roman" w:hAnsi="Times New Roman" w:cs="Times New Roman"/>
          <w:color w:val="000000"/>
          <w:sz w:val="24"/>
          <w:szCs w:val="24"/>
          <w:shd w:val="clear" w:color="auto" w:fill="FFFFFF"/>
          <w:lang w:val="en-GB" w:eastAsia="de-DE"/>
        </w:rPr>
        <w:t xml:space="preserve">of this definition </w:t>
      </w:r>
      <w:r w:rsidR="000D474D">
        <w:rPr>
          <w:rFonts w:ascii="Times New Roman" w:eastAsia="Times New Roman" w:hAnsi="Times New Roman" w:cs="Times New Roman"/>
          <w:color w:val="000000"/>
          <w:sz w:val="24"/>
          <w:szCs w:val="24"/>
          <w:shd w:val="clear" w:color="auto" w:fill="FFFFFF"/>
          <w:lang w:val="en-GB" w:eastAsia="de-DE"/>
        </w:rPr>
        <w:t xml:space="preserve">are particularly important; one is historical, </w:t>
      </w:r>
      <w:r w:rsidR="002610A1">
        <w:rPr>
          <w:rFonts w:ascii="Times New Roman" w:eastAsia="Times New Roman" w:hAnsi="Times New Roman" w:cs="Times New Roman"/>
          <w:color w:val="000000"/>
          <w:sz w:val="24"/>
          <w:szCs w:val="24"/>
          <w:shd w:val="clear" w:color="auto" w:fill="FFFFFF"/>
          <w:lang w:val="en-GB" w:eastAsia="de-DE"/>
        </w:rPr>
        <w:t xml:space="preserve">the </w:t>
      </w:r>
      <w:r w:rsidR="000D474D">
        <w:rPr>
          <w:rFonts w:ascii="Times New Roman" w:eastAsia="Times New Roman" w:hAnsi="Times New Roman" w:cs="Times New Roman"/>
          <w:color w:val="000000"/>
          <w:sz w:val="24"/>
          <w:szCs w:val="24"/>
          <w:shd w:val="clear" w:color="auto" w:fill="FFFFFF"/>
          <w:lang w:val="en-GB" w:eastAsia="de-DE"/>
        </w:rPr>
        <w:t>other conceptual. H</w:t>
      </w:r>
      <w:r w:rsidR="00A901D6" w:rsidRPr="00497A81">
        <w:rPr>
          <w:rFonts w:ascii="Times New Roman" w:eastAsia="Times New Roman" w:hAnsi="Times New Roman" w:cs="Times New Roman"/>
          <w:color w:val="000000"/>
          <w:sz w:val="24"/>
          <w:szCs w:val="24"/>
          <w:shd w:val="clear" w:color="auto" w:fill="FFFFFF"/>
          <w:lang w:val="en-GB" w:eastAsia="de-DE"/>
        </w:rPr>
        <w:t>istorically</w:t>
      </w:r>
      <w:r w:rsidR="000D474D">
        <w:rPr>
          <w:rFonts w:ascii="Times New Roman" w:eastAsia="Times New Roman" w:hAnsi="Times New Roman" w:cs="Times New Roman"/>
          <w:color w:val="000000"/>
          <w:sz w:val="24"/>
          <w:szCs w:val="24"/>
          <w:shd w:val="clear" w:color="auto" w:fill="FFFFFF"/>
          <w:lang w:val="en-GB" w:eastAsia="de-DE"/>
        </w:rPr>
        <w:t>, this account of consumer sovereignty is</w:t>
      </w:r>
      <w:r w:rsidR="00A901D6" w:rsidRPr="00497A81">
        <w:rPr>
          <w:rFonts w:ascii="Times New Roman" w:eastAsia="Times New Roman" w:hAnsi="Times New Roman" w:cs="Times New Roman"/>
          <w:color w:val="000000"/>
          <w:sz w:val="24"/>
          <w:szCs w:val="24"/>
          <w:shd w:val="clear" w:color="auto" w:fill="FFFFFF"/>
          <w:lang w:val="en-GB" w:eastAsia="de-DE"/>
        </w:rPr>
        <w:t xml:space="preserve"> too dismissive. </w:t>
      </w:r>
      <w:r w:rsidRPr="00497A81">
        <w:rPr>
          <w:rFonts w:ascii="Times New Roman" w:eastAsia="Times New Roman" w:hAnsi="Times New Roman" w:cs="Times New Roman"/>
          <w:color w:val="000000"/>
          <w:sz w:val="24"/>
          <w:szCs w:val="24"/>
          <w:shd w:val="clear" w:color="auto" w:fill="FFFFFF"/>
          <w:lang w:val="en-GB" w:eastAsia="de-DE"/>
        </w:rPr>
        <w:t>In fact, it is true that</w:t>
      </w:r>
      <w:r w:rsidR="002D141B" w:rsidRPr="00497A81">
        <w:rPr>
          <w:rFonts w:ascii="Times New Roman" w:eastAsia="Times New Roman" w:hAnsi="Times New Roman" w:cs="Times New Roman"/>
          <w:color w:val="000000"/>
          <w:sz w:val="24"/>
          <w:szCs w:val="24"/>
          <w:shd w:val="clear" w:color="auto" w:fill="FFFFFF"/>
          <w:lang w:val="en-GB" w:eastAsia="de-DE"/>
        </w:rPr>
        <w:t xml:space="preserve"> the founding father</w:t>
      </w:r>
      <w:r w:rsidR="002D6D50" w:rsidRPr="00497A81">
        <w:rPr>
          <w:rFonts w:ascii="Times New Roman" w:eastAsia="Times New Roman" w:hAnsi="Times New Roman" w:cs="Times New Roman"/>
          <w:color w:val="000000"/>
          <w:sz w:val="24"/>
          <w:szCs w:val="24"/>
          <w:shd w:val="clear" w:color="auto" w:fill="FFFFFF"/>
          <w:lang w:val="en-GB" w:eastAsia="de-DE"/>
        </w:rPr>
        <w:t>s</w:t>
      </w:r>
      <w:r w:rsidR="002D141B" w:rsidRPr="00497A81">
        <w:rPr>
          <w:rFonts w:ascii="Times New Roman" w:eastAsia="Times New Roman" w:hAnsi="Times New Roman" w:cs="Times New Roman"/>
          <w:color w:val="000000"/>
          <w:sz w:val="24"/>
          <w:szCs w:val="24"/>
          <w:shd w:val="clear" w:color="auto" w:fill="FFFFFF"/>
          <w:lang w:val="en-GB" w:eastAsia="de-DE"/>
        </w:rPr>
        <w:t xml:space="preserve"> of Austrian economi</w:t>
      </w:r>
      <w:r w:rsidR="002610A1">
        <w:rPr>
          <w:rFonts w:ascii="Times New Roman" w:eastAsia="Times New Roman" w:hAnsi="Times New Roman" w:cs="Times New Roman"/>
          <w:color w:val="000000"/>
          <w:sz w:val="24"/>
          <w:szCs w:val="24"/>
          <w:shd w:val="clear" w:color="auto" w:fill="FFFFFF"/>
          <w:lang w:val="en-GB" w:eastAsia="de-DE"/>
        </w:rPr>
        <w:t>c</w:t>
      </w:r>
      <w:r w:rsidR="002D141B" w:rsidRPr="00497A81">
        <w:rPr>
          <w:rFonts w:ascii="Times New Roman" w:eastAsia="Times New Roman" w:hAnsi="Times New Roman" w:cs="Times New Roman"/>
          <w:color w:val="000000"/>
          <w:sz w:val="24"/>
          <w:szCs w:val="24"/>
          <w:shd w:val="clear" w:color="auto" w:fill="FFFFFF"/>
          <w:lang w:val="en-GB" w:eastAsia="de-DE"/>
        </w:rPr>
        <w:t>s, von Mises</w:t>
      </w:r>
      <w:r w:rsidRPr="00497A81">
        <w:rPr>
          <w:rFonts w:ascii="Times New Roman" w:eastAsia="Times New Roman" w:hAnsi="Times New Roman" w:cs="Times New Roman"/>
          <w:color w:val="000000"/>
          <w:sz w:val="24"/>
          <w:szCs w:val="24"/>
          <w:shd w:val="clear" w:color="auto" w:fill="FFFFFF"/>
          <w:lang w:val="en-GB" w:eastAsia="de-DE"/>
        </w:rPr>
        <w:t xml:space="preserve"> </w:t>
      </w:r>
      <w:r w:rsidR="002D141B" w:rsidRPr="00497A81">
        <w:rPr>
          <w:rFonts w:ascii="Times New Roman" w:eastAsia="Times New Roman" w:hAnsi="Times New Roman" w:cs="Times New Roman"/>
          <w:color w:val="000000"/>
          <w:sz w:val="24"/>
          <w:szCs w:val="24"/>
          <w:shd w:val="clear" w:color="auto" w:fill="FFFFFF"/>
          <w:lang w:val="en-GB" w:eastAsia="de-DE"/>
        </w:rPr>
        <w:t xml:space="preserve">and von Hayek, endorsed </w:t>
      </w:r>
      <w:r w:rsidR="00EA3B80">
        <w:rPr>
          <w:rFonts w:ascii="Times New Roman" w:eastAsia="Times New Roman" w:hAnsi="Times New Roman" w:cs="Times New Roman"/>
          <w:color w:val="000000"/>
          <w:sz w:val="24"/>
          <w:szCs w:val="24"/>
          <w:shd w:val="clear" w:color="auto" w:fill="FFFFFF"/>
          <w:lang w:val="en-GB" w:eastAsia="de-DE"/>
        </w:rPr>
        <w:t>consumer sovereignty a</w:t>
      </w:r>
      <w:r w:rsidR="002610A1">
        <w:rPr>
          <w:rFonts w:ascii="Times New Roman" w:eastAsia="Times New Roman" w:hAnsi="Times New Roman" w:cs="Times New Roman"/>
          <w:color w:val="000000"/>
          <w:sz w:val="24"/>
          <w:szCs w:val="24"/>
          <w:shd w:val="clear" w:color="auto" w:fill="FFFFFF"/>
          <w:lang w:val="en-GB" w:eastAsia="de-DE"/>
        </w:rPr>
        <w:t>s</w:t>
      </w:r>
      <w:r w:rsidR="00EA3B80">
        <w:rPr>
          <w:rFonts w:ascii="Times New Roman" w:eastAsia="Times New Roman" w:hAnsi="Times New Roman" w:cs="Times New Roman"/>
          <w:color w:val="000000"/>
          <w:sz w:val="24"/>
          <w:szCs w:val="24"/>
          <w:shd w:val="clear" w:color="auto" w:fill="FFFFFF"/>
          <w:lang w:val="en-GB" w:eastAsia="de-DE"/>
        </w:rPr>
        <w:t xml:space="preserve"> foundational of their</w:t>
      </w:r>
      <w:r w:rsidR="002D141B" w:rsidRPr="00497A81">
        <w:rPr>
          <w:rFonts w:ascii="Times New Roman" w:eastAsia="Times New Roman" w:hAnsi="Times New Roman" w:cs="Times New Roman"/>
          <w:color w:val="000000"/>
          <w:sz w:val="24"/>
          <w:szCs w:val="24"/>
          <w:shd w:val="clear" w:color="auto" w:fill="FFFFFF"/>
          <w:lang w:val="en-GB" w:eastAsia="de-DE"/>
        </w:rPr>
        <w:t xml:space="preserve"> conception of market relations.</w:t>
      </w:r>
      <w:r w:rsidR="002D141B"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29"/>
      </w:r>
      <w:r w:rsidR="002D141B" w:rsidRPr="00497A81">
        <w:rPr>
          <w:rFonts w:ascii="Times New Roman" w:eastAsia="Times New Roman" w:hAnsi="Times New Roman" w:cs="Times New Roman"/>
          <w:color w:val="000000"/>
          <w:sz w:val="24"/>
          <w:szCs w:val="24"/>
          <w:shd w:val="clear" w:color="auto" w:fill="FFFFFF"/>
          <w:lang w:val="en-GB" w:eastAsia="de-DE"/>
        </w:rPr>
        <w:t xml:space="preserve"> </w:t>
      </w:r>
      <w:r w:rsidR="002D6D50" w:rsidRPr="00497A81">
        <w:rPr>
          <w:rFonts w:ascii="Times New Roman" w:eastAsia="Times New Roman" w:hAnsi="Times New Roman" w:cs="Times New Roman"/>
          <w:color w:val="000000"/>
          <w:sz w:val="24"/>
          <w:szCs w:val="24"/>
          <w:shd w:val="clear" w:color="auto" w:fill="FFFFFF"/>
          <w:lang w:val="en-GB" w:eastAsia="de-DE"/>
        </w:rPr>
        <w:t>However, it is also true that modern “Austrian” economists are not so enthusiastic about it.</w:t>
      </w:r>
      <w:r w:rsidR="00520105"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30"/>
      </w:r>
      <w:r w:rsidR="002D6D50" w:rsidRPr="00497A81">
        <w:rPr>
          <w:rFonts w:ascii="Times New Roman" w:eastAsia="Times New Roman" w:hAnsi="Times New Roman" w:cs="Times New Roman"/>
          <w:color w:val="000000"/>
          <w:sz w:val="24"/>
          <w:szCs w:val="24"/>
          <w:shd w:val="clear" w:color="auto" w:fill="FFFFFF"/>
          <w:lang w:val="en-GB" w:eastAsia="de-DE"/>
        </w:rPr>
        <w:t xml:space="preserve"> Be this as it may</w:t>
      </w:r>
      <w:r w:rsidR="007E063F" w:rsidRPr="00497A81">
        <w:rPr>
          <w:rFonts w:ascii="Times New Roman" w:eastAsia="Times New Roman" w:hAnsi="Times New Roman" w:cs="Times New Roman"/>
          <w:color w:val="000000"/>
          <w:sz w:val="24"/>
          <w:szCs w:val="24"/>
          <w:shd w:val="clear" w:color="auto" w:fill="FFFFFF"/>
          <w:lang w:val="en-GB" w:eastAsia="de-DE"/>
        </w:rPr>
        <w:t xml:space="preserve"> for current “Austrian” economic thought</w:t>
      </w:r>
      <w:r w:rsidR="002D141B" w:rsidRPr="00497A81">
        <w:rPr>
          <w:rFonts w:ascii="Times New Roman" w:eastAsia="Times New Roman" w:hAnsi="Times New Roman" w:cs="Times New Roman"/>
          <w:color w:val="000000"/>
          <w:sz w:val="24"/>
          <w:szCs w:val="24"/>
          <w:shd w:val="clear" w:color="auto" w:fill="FFFFFF"/>
          <w:lang w:val="en-GB" w:eastAsia="de-DE"/>
        </w:rPr>
        <w:t xml:space="preserve">, </w:t>
      </w:r>
      <w:r w:rsidRPr="00497A81">
        <w:rPr>
          <w:rFonts w:ascii="Times New Roman" w:eastAsia="Times New Roman" w:hAnsi="Times New Roman" w:cs="Times New Roman"/>
          <w:color w:val="000000"/>
          <w:sz w:val="24"/>
          <w:szCs w:val="24"/>
          <w:shd w:val="clear" w:color="auto" w:fill="FFFFFF"/>
          <w:lang w:val="en-GB" w:eastAsia="de-DE"/>
        </w:rPr>
        <w:t>the most eminent protagonist of consumer sovereignty thinking</w:t>
      </w:r>
      <w:r w:rsidR="000350BB" w:rsidRPr="00497A81">
        <w:rPr>
          <w:rFonts w:ascii="Times New Roman" w:eastAsia="Times New Roman" w:hAnsi="Times New Roman" w:cs="Times New Roman"/>
          <w:color w:val="000000"/>
          <w:sz w:val="24"/>
          <w:szCs w:val="24"/>
          <w:shd w:val="clear" w:color="auto" w:fill="FFFFFF"/>
          <w:lang w:val="en-GB" w:eastAsia="de-DE"/>
        </w:rPr>
        <w:t>, William Harold Hutt,</w:t>
      </w:r>
      <w:r w:rsidRPr="00497A81">
        <w:rPr>
          <w:rFonts w:ascii="Times New Roman" w:eastAsia="Times New Roman" w:hAnsi="Times New Roman" w:cs="Times New Roman"/>
          <w:color w:val="000000"/>
          <w:sz w:val="24"/>
          <w:szCs w:val="24"/>
          <w:shd w:val="clear" w:color="auto" w:fill="FFFFFF"/>
          <w:lang w:val="en-GB" w:eastAsia="de-DE"/>
        </w:rPr>
        <w:t xml:space="preserve"> did not see </w:t>
      </w:r>
      <w:r w:rsidR="007E063F" w:rsidRPr="00497A81">
        <w:rPr>
          <w:rFonts w:ascii="Times New Roman" w:eastAsia="Times New Roman" w:hAnsi="Times New Roman" w:cs="Times New Roman"/>
          <w:color w:val="000000"/>
          <w:sz w:val="24"/>
          <w:szCs w:val="24"/>
          <w:shd w:val="clear" w:color="auto" w:fill="FFFFFF"/>
          <w:lang w:val="en-GB" w:eastAsia="de-DE"/>
        </w:rPr>
        <w:t>consumer sovereignty</w:t>
      </w:r>
      <w:r w:rsidRPr="00497A81">
        <w:rPr>
          <w:rFonts w:ascii="Times New Roman" w:eastAsia="Times New Roman" w:hAnsi="Times New Roman" w:cs="Times New Roman"/>
          <w:color w:val="000000"/>
          <w:sz w:val="24"/>
          <w:szCs w:val="24"/>
          <w:shd w:val="clear" w:color="auto" w:fill="FFFFFF"/>
          <w:lang w:val="en-GB" w:eastAsia="de-DE"/>
        </w:rPr>
        <w:t xml:space="preserve"> as minoritarian, but rather as foundational</w:t>
      </w:r>
      <w:r w:rsidR="002D141B" w:rsidRPr="00497A81">
        <w:rPr>
          <w:rFonts w:ascii="Times New Roman" w:eastAsia="Times New Roman" w:hAnsi="Times New Roman" w:cs="Times New Roman"/>
          <w:color w:val="000000"/>
          <w:sz w:val="24"/>
          <w:szCs w:val="24"/>
          <w:shd w:val="clear" w:color="auto" w:fill="FFFFFF"/>
          <w:lang w:val="en-GB" w:eastAsia="de-DE"/>
        </w:rPr>
        <w:t xml:space="preserve"> of economic thought</w:t>
      </w:r>
      <w:r w:rsidRPr="00497A81">
        <w:rPr>
          <w:rFonts w:ascii="Times New Roman" w:eastAsia="SimSun" w:hAnsi="Times New Roman" w:cs="Times New Roman"/>
          <w:sz w:val="24"/>
          <w:szCs w:val="24"/>
          <w:vertAlign w:val="superscript"/>
          <w:lang w:eastAsia="zh-CN"/>
        </w:rPr>
        <w:footnoteReference w:id="31"/>
      </w:r>
      <w:r w:rsidRPr="00497A81">
        <w:rPr>
          <w:rFonts w:ascii="Times New Roman" w:eastAsia="Times New Roman" w:hAnsi="Times New Roman" w:cs="Times New Roman"/>
          <w:color w:val="000000"/>
          <w:sz w:val="24"/>
          <w:szCs w:val="24"/>
          <w:shd w:val="clear" w:color="auto" w:fill="FFFFFF"/>
          <w:lang w:val="en-GB" w:eastAsia="de-DE"/>
        </w:rPr>
        <w:t xml:space="preserve"> – one </w:t>
      </w:r>
      <w:r w:rsidR="000350BB" w:rsidRPr="00497A81">
        <w:rPr>
          <w:rFonts w:ascii="Times New Roman" w:eastAsia="Times New Roman" w:hAnsi="Times New Roman" w:cs="Times New Roman"/>
          <w:color w:val="000000"/>
          <w:sz w:val="24"/>
          <w:szCs w:val="24"/>
          <w:shd w:val="clear" w:color="auto" w:fill="FFFFFF"/>
          <w:lang w:val="en-GB" w:eastAsia="de-DE"/>
        </w:rPr>
        <w:t>could even</w:t>
      </w:r>
      <w:r w:rsidRPr="00497A81">
        <w:rPr>
          <w:rFonts w:ascii="Times New Roman" w:eastAsia="Times New Roman" w:hAnsi="Times New Roman" w:cs="Times New Roman"/>
          <w:color w:val="000000"/>
          <w:sz w:val="24"/>
          <w:szCs w:val="24"/>
          <w:shd w:val="clear" w:color="auto" w:fill="FFFFFF"/>
          <w:lang w:val="en-GB" w:eastAsia="de-DE"/>
        </w:rPr>
        <w:t xml:space="preserve"> speak of a </w:t>
      </w:r>
      <w:r w:rsidR="007E063F"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 xml:space="preserve">hidden </w:t>
      </w:r>
      <w:r w:rsidR="007E063F" w:rsidRPr="00497A81">
        <w:rPr>
          <w:rFonts w:ascii="Times New Roman" w:eastAsia="Times New Roman" w:hAnsi="Times New Roman" w:cs="Times New Roman"/>
          <w:color w:val="000000"/>
          <w:sz w:val="24"/>
          <w:szCs w:val="24"/>
          <w:shd w:val="clear" w:color="auto" w:fill="FFFFFF"/>
          <w:lang w:val="en-GB" w:eastAsia="de-DE"/>
        </w:rPr>
        <w:t>mainstream”</w:t>
      </w:r>
      <w:r w:rsidR="002D6D50" w:rsidRPr="00497A81">
        <w:rPr>
          <w:rFonts w:ascii="Times New Roman" w:eastAsia="Times New Roman" w:hAnsi="Times New Roman" w:cs="Times New Roman"/>
          <w:color w:val="000000"/>
          <w:sz w:val="24"/>
          <w:szCs w:val="24"/>
          <w:shd w:val="clear" w:color="auto" w:fill="FFFFFF"/>
          <w:lang w:val="en-GB" w:eastAsia="de-DE"/>
        </w:rPr>
        <w:t>,</w:t>
      </w:r>
      <w:r w:rsidR="000350BB" w:rsidRPr="00497A81">
        <w:rPr>
          <w:rFonts w:ascii="Times New Roman" w:eastAsia="Times New Roman" w:hAnsi="Times New Roman" w:cs="Times New Roman"/>
          <w:color w:val="000000"/>
          <w:sz w:val="24"/>
          <w:szCs w:val="24"/>
          <w:shd w:val="clear" w:color="auto" w:fill="FFFFFF"/>
          <w:lang w:val="en-GB" w:eastAsia="de-DE"/>
        </w:rPr>
        <w:t xml:space="preserve"> as traces </w:t>
      </w:r>
      <w:r w:rsidR="00AC0611" w:rsidRPr="00497A81">
        <w:rPr>
          <w:rFonts w:ascii="Times New Roman" w:eastAsia="Times New Roman" w:hAnsi="Times New Roman" w:cs="Times New Roman"/>
          <w:color w:val="000000"/>
          <w:sz w:val="24"/>
          <w:szCs w:val="24"/>
          <w:shd w:val="clear" w:color="auto" w:fill="FFFFFF"/>
          <w:lang w:val="en-GB" w:eastAsia="de-DE"/>
        </w:rPr>
        <w:t xml:space="preserve">of this </w:t>
      </w:r>
      <w:r w:rsidR="002D6D50" w:rsidRPr="00497A81">
        <w:rPr>
          <w:rFonts w:ascii="Times New Roman" w:eastAsia="Times New Roman" w:hAnsi="Times New Roman" w:cs="Times New Roman"/>
          <w:color w:val="000000"/>
          <w:sz w:val="24"/>
          <w:szCs w:val="24"/>
          <w:shd w:val="clear" w:color="auto" w:fill="FFFFFF"/>
          <w:lang w:val="en-GB" w:eastAsia="de-DE"/>
        </w:rPr>
        <w:t xml:space="preserve">concept </w:t>
      </w:r>
      <w:r w:rsidR="000350BB" w:rsidRPr="00497A81">
        <w:rPr>
          <w:rFonts w:ascii="Times New Roman" w:eastAsia="Times New Roman" w:hAnsi="Times New Roman" w:cs="Times New Roman"/>
          <w:color w:val="000000"/>
          <w:sz w:val="24"/>
          <w:szCs w:val="24"/>
          <w:shd w:val="clear" w:color="auto" w:fill="FFFFFF"/>
          <w:lang w:val="en-GB" w:eastAsia="de-DE"/>
        </w:rPr>
        <w:t xml:space="preserve">can be found in </w:t>
      </w:r>
      <w:r w:rsidRPr="00497A81">
        <w:rPr>
          <w:rFonts w:ascii="Times New Roman" w:eastAsia="Times New Roman" w:hAnsi="Times New Roman" w:cs="Times New Roman"/>
          <w:color w:val="000000"/>
          <w:sz w:val="24"/>
          <w:szCs w:val="24"/>
          <w:shd w:val="clear" w:color="auto" w:fill="FFFFFF"/>
          <w:lang w:val="en-GB" w:eastAsia="de-DE"/>
        </w:rPr>
        <w:t xml:space="preserve">many </w:t>
      </w:r>
      <w:r w:rsidRPr="00497A81">
        <w:rPr>
          <w:rFonts w:ascii="Times New Roman" w:eastAsia="Times New Roman" w:hAnsi="Times New Roman" w:cs="Times New Roman"/>
          <w:color w:val="000000"/>
          <w:sz w:val="24"/>
          <w:szCs w:val="24"/>
          <w:shd w:val="clear" w:color="auto" w:fill="FFFFFF"/>
          <w:lang w:val="en-GB" w:eastAsia="de-DE"/>
        </w:rPr>
        <w:lastRenderedPageBreak/>
        <w:t xml:space="preserve">works of truly foundational importance, </w:t>
      </w:r>
      <w:r w:rsidR="002D6D50" w:rsidRPr="00497A81">
        <w:rPr>
          <w:rFonts w:ascii="Times New Roman" w:eastAsia="Times New Roman" w:hAnsi="Times New Roman" w:cs="Times New Roman"/>
          <w:color w:val="000000"/>
          <w:sz w:val="24"/>
          <w:szCs w:val="24"/>
          <w:shd w:val="clear" w:color="auto" w:fill="FFFFFF"/>
          <w:lang w:val="en-GB" w:eastAsia="de-DE"/>
        </w:rPr>
        <w:t xml:space="preserve">even </w:t>
      </w:r>
      <w:r w:rsidRPr="00497A81">
        <w:rPr>
          <w:rFonts w:ascii="Times New Roman" w:eastAsia="Times New Roman" w:hAnsi="Times New Roman" w:cs="Times New Roman"/>
          <w:color w:val="000000"/>
          <w:sz w:val="24"/>
          <w:szCs w:val="24"/>
          <w:shd w:val="clear" w:color="auto" w:fill="FFFFFF"/>
          <w:lang w:val="en-GB" w:eastAsia="de-DE"/>
        </w:rPr>
        <w:t>back to Adam Smith’s</w:t>
      </w:r>
      <w:r w:rsidR="002D6D50" w:rsidRPr="00497A81">
        <w:rPr>
          <w:rFonts w:ascii="Times New Roman" w:eastAsia="Times New Roman" w:hAnsi="Times New Roman" w:cs="Times New Roman"/>
          <w:color w:val="000000"/>
          <w:sz w:val="24"/>
          <w:szCs w:val="24"/>
          <w:shd w:val="clear" w:color="auto" w:fill="FFFFFF"/>
          <w:lang w:val="en-GB" w:eastAsia="de-DE"/>
        </w:rPr>
        <w:t xml:space="preserve"> </w:t>
      </w:r>
      <w:r w:rsidR="002D6D50" w:rsidRPr="00497A81">
        <w:rPr>
          <w:rFonts w:ascii="Times New Roman" w:eastAsia="Times New Roman" w:hAnsi="Times New Roman" w:cs="Times New Roman"/>
          <w:i/>
          <w:color w:val="000000"/>
          <w:sz w:val="24"/>
          <w:szCs w:val="24"/>
          <w:shd w:val="clear" w:color="auto" w:fill="FFFFFF"/>
          <w:lang w:val="en-GB" w:eastAsia="de-DE"/>
        </w:rPr>
        <w:t>The Wealth of Nations</w:t>
      </w:r>
      <w:r w:rsidRPr="00497A81">
        <w:rPr>
          <w:rFonts w:ascii="Times New Roman" w:eastAsia="Times New Roman" w:hAnsi="Times New Roman" w:cs="Times New Roman"/>
          <w:color w:val="000000"/>
          <w:sz w:val="24"/>
          <w:szCs w:val="24"/>
          <w:shd w:val="clear" w:color="auto" w:fill="FFFFFF"/>
          <w:lang w:val="en-GB" w:eastAsia="de-DE"/>
        </w:rPr>
        <w:t>.</w:t>
      </w:r>
      <w:r w:rsidR="000350BB" w:rsidRPr="00497A81">
        <w:rPr>
          <w:rFonts w:ascii="Times New Roman" w:eastAsia="SimSun" w:hAnsi="Times New Roman" w:cs="Times New Roman"/>
          <w:sz w:val="24"/>
          <w:szCs w:val="24"/>
          <w:vertAlign w:val="superscript"/>
          <w:lang w:eastAsia="zh-CN"/>
        </w:rPr>
        <w:footnoteReference w:id="32"/>
      </w:r>
      <w:r w:rsidRPr="00497A81">
        <w:rPr>
          <w:rFonts w:ascii="Times New Roman" w:eastAsia="Times New Roman" w:hAnsi="Times New Roman" w:cs="Times New Roman"/>
          <w:color w:val="000000"/>
          <w:sz w:val="24"/>
          <w:szCs w:val="24"/>
          <w:shd w:val="clear" w:color="auto" w:fill="FFFFFF"/>
          <w:lang w:val="en-GB" w:eastAsia="de-DE"/>
        </w:rPr>
        <w:t xml:space="preserve"> These traces are gathered elsewhere.</w:t>
      </w:r>
      <w:r w:rsidR="000350BB"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33"/>
      </w:r>
      <w:r w:rsidRPr="00497A81">
        <w:rPr>
          <w:rFonts w:ascii="Times New Roman" w:eastAsia="Times New Roman" w:hAnsi="Times New Roman" w:cs="Times New Roman"/>
          <w:color w:val="000000"/>
          <w:sz w:val="24"/>
          <w:szCs w:val="24"/>
          <w:shd w:val="clear" w:color="auto" w:fill="FFFFFF"/>
          <w:lang w:val="en-GB" w:eastAsia="de-DE"/>
        </w:rPr>
        <w:t xml:space="preserve"> </w:t>
      </w:r>
      <w:r w:rsidR="00C638E2">
        <w:rPr>
          <w:rFonts w:ascii="Times New Roman" w:eastAsia="Times New Roman" w:hAnsi="Times New Roman" w:cs="Times New Roman"/>
          <w:color w:val="000000"/>
          <w:sz w:val="24"/>
          <w:szCs w:val="24"/>
          <w:shd w:val="clear" w:color="auto" w:fill="FFFFFF"/>
          <w:lang w:val="en-GB" w:eastAsia="de-DE"/>
        </w:rPr>
        <w:t xml:space="preserve">Indeed, Parisi’s reference to the opinion of “many economists” connecting the limitation of consumer sovereignty to </w:t>
      </w:r>
      <w:r w:rsidR="00EA3B80">
        <w:rPr>
          <w:rFonts w:ascii="Times New Roman" w:eastAsia="Times New Roman" w:hAnsi="Times New Roman" w:cs="Times New Roman"/>
          <w:color w:val="000000"/>
          <w:sz w:val="24"/>
          <w:szCs w:val="24"/>
          <w:shd w:val="clear" w:color="auto" w:fill="FFFFFF"/>
          <w:lang w:val="en-GB" w:eastAsia="de-DE"/>
        </w:rPr>
        <w:t>market fai</w:t>
      </w:r>
      <w:r w:rsidR="00C638E2">
        <w:rPr>
          <w:rFonts w:ascii="Times New Roman" w:eastAsia="Times New Roman" w:hAnsi="Times New Roman" w:cs="Times New Roman"/>
          <w:color w:val="000000"/>
          <w:sz w:val="24"/>
          <w:szCs w:val="24"/>
          <w:shd w:val="clear" w:color="auto" w:fill="FFFFFF"/>
          <w:lang w:val="en-GB" w:eastAsia="de-DE"/>
        </w:rPr>
        <w:t xml:space="preserve">lures </w:t>
      </w:r>
      <w:r w:rsidR="00EA3B80">
        <w:rPr>
          <w:rFonts w:ascii="Times New Roman" w:eastAsia="Times New Roman" w:hAnsi="Times New Roman" w:cs="Times New Roman"/>
          <w:color w:val="000000"/>
          <w:sz w:val="24"/>
          <w:szCs w:val="24"/>
          <w:shd w:val="clear" w:color="auto" w:fill="FFFFFF"/>
          <w:lang w:val="en-GB" w:eastAsia="de-DE"/>
        </w:rPr>
        <w:t xml:space="preserve">should suffice as </w:t>
      </w:r>
      <w:r w:rsidR="00C638E2">
        <w:rPr>
          <w:rFonts w:ascii="Times New Roman" w:eastAsia="Times New Roman" w:hAnsi="Times New Roman" w:cs="Times New Roman"/>
          <w:color w:val="000000"/>
          <w:sz w:val="24"/>
          <w:szCs w:val="24"/>
          <w:shd w:val="clear" w:color="auto" w:fill="FFFFFF"/>
          <w:lang w:val="en-GB" w:eastAsia="de-DE"/>
        </w:rPr>
        <w:t xml:space="preserve">a preliminary confirmation of this claim. </w:t>
      </w:r>
      <w:r w:rsidR="000D474D">
        <w:rPr>
          <w:rFonts w:ascii="Times New Roman" w:eastAsia="Times New Roman" w:hAnsi="Times New Roman" w:cs="Times New Roman"/>
          <w:color w:val="000000"/>
          <w:sz w:val="24"/>
          <w:szCs w:val="24"/>
          <w:shd w:val="clear" w:color="auto" w:fill="FFFFFF"/>
          <w:lang w:val="en-GB" w:eastAsia="de-DE"/>
        </w:rPr>
        <w:t xml:space="preserve">Conceptually, Parisi’s dictionary shows in a clear and concise way that consumer sovereignty challenges the foundational assumptions of mainstream economics of law. </w:t>
      </w:r>
      <w:r w:rsidR="00F92AE5">
        <w:rPr>
          <w:rFonts w:ascii="Times New Roman" w:eastAsia="Times New Roman" w:hAnsi="Times New Roman" w:cs="Times New Roman"/>
          <w:color w:val="000000"/>
          <w:sz w:val="24"/>
          <w:szCs w:val="24"/>
          <w:shd w:val="clear" w:color="auto" w:fill="FFFFFF"/>
          <w:lang w:val="en-GB" w:eastAsia="de-DE"/>
        </w:rPr>
        <w:t xml:space="preserve">According to Parisi, in fact, </w:t>
      </w:r>
      <w:r w:rsidR="00C638E2">
        <w:rPr>
          <w:rFonts w:ascii="Times New Roman" w:eastAsia="Times New Roman" w:hAnsi="Times New Roman" w:cs="Times New Roman"/>
          <w:color w:val="000000"/>
          <w:sz w:val="24"/>
          <w:szCs w:val="24"/>
          <w:shd w:val="clear" w:color="auto" w:fill="FFFFFF"/>
          <w:lang w:val="en-GB" w:eastAsia="de-DE"/>
        </w:rPr>
        <w:t>“aggregate surplus is important in law and economics, in which economic and competition policies are designed to maximize aggregate surplus”.</w:t>
      </w:r>
      <w:r w:rsidR="00C638E2">
        <w:rPr>
          <w:rStyle w:val="Rimandonotaapidipagina"/>
          <w:rFonts w:ascii="Times New Roman" w:eastAsia="Times New Roman" w:hAnsi="Times New Roman" w:cs="Times New Roman"/>
          <w:color w:val="000000"/>
          <w:sz w:val="24"/>
          <w:szCs w:val="24"/>
          <w:shd w:val="clear" w:color="auto" w:fill="FFFFFF"/>
          <w:lang w:val="en-GB" w:eastAsia="de-DE"/>
        </w:rPr>
        <w:footnoteReference w:id="34"/>
      </w:r>
      <w:r w:rsidR="00C638E2">
        <w:rPr>
          <w:rFonts w:ascii="Times New Roman" w:eastAsia="Times New Roman" w:hAnsi="Times New Roman" w:cs="Times New Roman"/>
          <w:color w:val="000000"/>
          <w:sz w:val="24"/>
          <w:szCs w:val="24"/>
          <w:shd w:val="clear" w:color="auto" w:fill="FFFFFF"/>
          <w:lang w:val="en-GB" w:eastAsia="de-DE"/>
        </w:rPr>
        <w:t xml:space="preserve"> At the same time, consumer surplus “is at its highest, and the highest efficiency is attained, in perfectly competitive markets”.</w:t>
      </w:r>
      <w:r w:rsidR="00C638E2">
        <w:rPr>
          <w:rStyle w:val="Rimandonotaapidipagina"/>
          <w:rFonts w:ascii="Times New Roman" w:eastAsia="Times New Roman" w:hAnsi="Times New Roman" w:cs="Times New Roman"/>
          <w:color w:val="000000"/>
          <w:sz w:val="24"/>
          <w:szCs w:val="24"/>
          <w:shd w:val="clear" w:color="auto" w:fill="FFFFFF"/>
          <w:lang w:val="en-GB" w:eastAsia="de-DE"/>
        </w:rPr>
        <w:footnoteReference w:id="35"/>
      </w:r>
      <w:r w:rsidR="00C638E2">
        <w:rPr>
          <w:rFonts w:ascii="Times New Roman" w:eastAsia="Times New Roman" w:hAnsi="Times New Roman" w:cs="Times New Roman"/>
          <w:color w:val="000000"/>
          <w:sz w:val="24"/>
          <w:szCs w:val="24"/>
          <w:shd w:val="clear" w:color="auto" w:fill="FFFFFF"/>
          <w:lang w:val="en-GB" w:eastAsia="de-DE"/>
        </w:rPr>
        <w:t xml:space="preserve"> If we assume that market regulation and “economic and competition policies” are basically overlapping, the following can be observed: consumer sovereignty and the maximization of consumer surplus in perfect competition</w:t>
      </w:r>
      <w:r w:rsidR="000D474D">
        <w:rPr>
          <w:rFonts w:ascii="Times New Roman" w:eastAsia="Times New Roman" w:hAnsi="Times New Roman" w:cs="Times New Roman"/>
          <w:color w:val="000000"/>
          <w:sz w:val="24"/>
          <w:szCs w:val="24"/>
          <w:shd w:val="clear" w:color="auto" w:fill="FFFFFF"/>
          <w:lang w:val="en-GB" w:eastAsia="de-DE"/>
        </w:rPr>
        <w:t xml:space="preserve"> </w:t>
      </w:r>
      <w:r w:rsidR="00C638E2">
        <w:rPr>
          <w:rFonts w:ascii="Times New Roman" w:eastAsia="Times New Roman" w:hAnsi="Times New Roman" w:cs="Times New Roman"/>
          <w:color w:val="000000"/>
          <w:sz w:val="24"/>
          <w:szCs w:val="24"/>
          <w:shd w:val="clear" w:color="auto" w:fill="FFFFFF"/>
          <w:lang w:val="en-GB" w:eastAsia="de-DE"/>
        </w:rPr>
        <w:t xml:space="preserve">both point to the conclusion that efficiency is not about </w:t>
      </w:r>
      <w:r w:rsidR="002610A1">
        <w:rPr>
          <w:rFonts w:ascii="Times New Roman" w:eastAsia="Times New Roman" w:hAnsi="Times New Roman" w:cs="Times New Roman"/>
          <w:color w:val="000000"/>
          <w:sz w:val="24"/>
          <w:szCs w:val="24"/>
          <w:shd w:val="clear" w:color="auto" w:fill="FFFFFF"/>
          <w:lang w:val="en-GB" w:eastAsia="de-DE"/>
        </w:rPr>
        <w:t xml:space="preserve">overall </w:t>
      </w:r>
      <w:r w:rsidR="00C638E2">
        <w:rPr>
          <w:rFonts w:ascii="Times New Roman" w:eastAsia="Times New Roman" w:hAnsi="Times New Roman" w:cs="Times New Roman"/>
          <w:color w:val="000000"/>
          <w:sz w:val="24"/>
          <w:szCs w:val="24"/>
          <w:shd w:val="clear" w:color="auto" w:fill="FFFFFF"/>
          <w:lang w:val="en-GB" w:eastAsia="de-DE"/>
        </w:rPr>
        <w:t xml:space="preserve">aggregate value but about consumer </w:t>
      </w:r>
      <w:r w:rsidR="002610A1">
        <w:rPr>
          <w:rFonts w:ascii="Times New Roman" w:eastAsia="Times New Roman" w:hAnsi="Times New Roman" w:cs="Times New Roman"/>
          <w:color w:val="000000"/>
          <w:sz w:val="24"/>
          <w:szCs w:val="24"/>
          <w:shd w:val="clear" w:color="auto" w:fill="FFFFFF"/>
          <w:lang w:val="en-GB" w:eastAsia="de-DE"/>
        </w:rPr>
        <w:t xml:space="preserve">aggregate </w:t>
      </w:r>
      <w:r w:rsidR="00C638E2">
        <w:rPr>
          <w:rFonts w:ascii="Times New Roman" w:eastAsia="Times New Roman" w:hAnsi="Times New Roman" w:cs="Times New Roman"/>
          <w:color w:val="000000"/>
          <w:sz w:val="24"/>
          <w:szCs w:val="24"/>
          <w:shd w:val="clear" w:color="auto" w:fill="FFFFFF"/>
          <w:lang w:val="en-GB" w:eastAsia="de-DE"/>
        </w:rPr>
        <w:t xml:space="preserve">value. </w:t>
      </w:r>
      <w:r w:rsidR="00A901D6" w:rsidRPr="00497A81">
        <w:rPr>
          <w:rFonts w:ascii="Times New Roman" w:eastAsia="Times New Roman" w:hAnsi="Times New Roman" w:cs="Times New Roman"/>
          <w:color w:val="000000"/>
          <w:sz w:val="24"/>
          <w:szCs w:val="24"/>
          <w:shd w:val="clear" w:color="auto" w:fill="FFFFFF"/>
          <w:lang w:val="en-GB" w:eastAsia="de-DE"/>
        </w:rPr>
        <w:t xml:space="preserve">To the best of </w:t>
      </w:r>
      <w:r w:rsidR="000754FA" w:rsidRPr="00497A81">
        <w:rPr>
          <w:rFonts w:ascii="Times New Roman" w:eastAsia="Times New Roman" w:hAnsi="Times New Roman" w:cs="Times New Roman"/>
          <w:color w:val="000000"/>
          <w:sz w:val="24"/>
          <w:szCs w:val="24"/>
          <w:shd w:val="clear" w:color="auto" w:fill="FFFFFF"/>
          <w:lang w:val="en-GB" w:eastAsia="de-DE"/>
        </w:rPr>
        <w:t>our</w:t>
      </w:r>
      <w:r w:rsidR="00A901D6" w:rsidRPr="00497A81">
        <w:rPr>
          <w:rFonts w:ascii="Times New Roman" w:eastAsia="Times New Roman" w:hAnsi="Times New Roman" w:cs="Times New Roman"/>
          <w:color w:val="000000"/>
          <w:sz w:val="24"/>
          <w:szCs w:val="24"/>
          <w:shd w:val="clear" w:color="auto" w:fill="FFFFFF"/>
          <w:lang w:val="en-GB" w:eastAsia="de-DE"/>
        </w:rPr>
        <w:t xml:space="preserve"> knowledge, the author who has </w:t>
      </w:r>
      <w:r w:rsidR="00DB5F69" w:rsidRPr="00497A81">
        <w:rPr>
          <w:rFonts w:ascii="Times New Roman" w:eastAsia="Times New Roman" w:hAnsi="Times New Roman" w:cs="Times New Roman"/>
          <w:color w:val="000000"/>
          <w:sz w:val="24"/>
          <w:szCs w:val="24"/>
          <w:shd w:val="clear" w:color="auto" w:fill="FFFFFF"/>
          <w:lang w:val="en-GB" w:eastAsia="de-DE"/>
        </w:rPr>
        <w:t>taken consumer sovereign</w:t>
      </w:r>
      <w:r w:rsidR="00A901D6" w:rsidRPr="00497A81">
        <w:rPr>
          <w:rFonts w:ascii="Times New Roman" w:eastAsia="Times New Roman" w:hAnsi="Times New Roman" w:cs="Times New Roman"/>
          <w:color w:val="000000"/>
          <w:sz w:val="24"/>
          <w:szCs w:val="24"/>
          <w:shd w:val="clear" w:color="auto" w:fill="FFFFFF"/>
          <w:lang w:val="en-GB" w:eastAsia="de-DE"/>
        </w:rPr>
        <w:t xml:space="preserve">ty more seriously in the law and economics literature is </w:t>
      </w:r>
      <w:r w:rsidR="00DB5F69" w:rsidRPr="00497A81">
        <w:rPr>
          <w:rFonts w:ascii="Times New Roman" w:eastAsia="Times New Roman" w:hAnsi="Times New Roman" w:cs="Times New Roman"/>
          <w:color w:val="000000"/>
          <w:sz w:val="24"/>
          <w:szCs w:val="24"/>
          <w:shd w:val="clear" w:color="auto" w:fill="FFFFFF"/>
          <w:lang w:val="en-GB" w:eastAsia="de-DE"/>
        </w:rPr>
        <w:t xml:space="preserve">Katalin Cseres. However, her understanding of the concept is </w:t>
      </w:r>
      <w:r w:rsidR="00606240" w:rsidRPr="00497A81">
        <w:rPr>
          <w:rFonts w:ascii="Times New Roman" w:eastAsia="Times New Roman" w:hAnsi="Times New Roman" w:cs="Times New Roman"/>
          <w:color w:val="000000"/>
          <w:sz w:val="24"/>
          <w:szCs w:val="24"/>
          <w:shd w:val="clear" w:color="auto" w:fill="FFFFFF"/>
          <w:lang w:val="en-GB" w:eastAsia="de-DE"/>
        </w:rPr>
        <w:t>reductive</w:t>
      </w:r>
      <w:r w:rsidR="00DB5F69" w:rsidRPr="00497A81">
        <w:rPr>
          <w:rFonts w:ascii="Times New Roman" w:eastAsia="Times New Roman" w:hAnsi="Times New Roman" w:cs="Times New Roman"/>
          <w:color w:val="000000"/>
          <w:sz w:val="24"/>
          <w:szCs w:val="24"/>
          <w:shd w:val="clear" w:color="auto" w:fill="FFFFFF"/>
          <w:lang w:val="en-GB" w:eastAsia="de-DE"/>
        </w:rPr>
        <w:t>.</w:t>
      </w:r>
      <w:r w:rsidR="00EA3B80">
        <w:rPr>
          <w:rFonts w:ascii="Times New Roman" w:eastAsia="Times New Roman" w:hAnsi="Times New Roman" w:cs="Times New Roman"/>
          <w:color w:val="000000"/>
          <w:sz w:val="24"/>
          <w:szCs w:val="24"/>
          <w:shd w:val="clear" w:color="auto" w:fill="FFFFFF"/>
          <w:lang w:val="en-GB" w:eastAsia="de-DE"/>
        </w:rPr>
        <w:t xml:space="preserve"> Interestingly, the author presents consumer sovereignty as an element of mainstream theory.</w:t>
      </w:r>
      <w:r w:rsidR="00DB5F69" w:rsidRPr="00497A81">
        <w:rPr>
          <w:rFonts w:ascii="Times New Roman" w:eastAsia="Times New Roman" w:hAnsi="Times New Roman" w:cs="Times New Roman"/>
          <w:color w:val="000000"/>
          <w:sz w:val="24"/>
          <w:szCs w:val="24"/>
          <w:shd w:val="clear" w:color="auto" w:fill="FFFFFF"/>
          <w:lang w:val="en-GB" w:eastAsia="de-DE"/>
        </w:rPr>
        <w:t xml:space="preserve"> In her view, consumer sovereignty relates to the epistemic authority of the “Individuals</w:t>
      </w:r>
      <w:r w:rsidR="00A901D6" w:rsidRPr="00497A81">
        <w:rPr>
          <w:rFonts w:ascii="Times New Roman" w:eastAsia="Times New Roman" w:hAnsi="Times New Roman" w:cs="Times New Roman"/>
          <w:color w:val="000000"/>
          <w:sz w:val="24"/>
          <w:szCs w:val="24"/>
          <w:shd w:val="clear" w:color="auto" w:fill="FFFFFF"/>
          <w:lang w:val="en-GB" w:eastAsia="de-DE"/>
        </w:rPr>
        <w:t xml:space="preserve"> </w:t>
      </w:r>
      <w:r w:rsidR="00DB5F69" w:rsidRPr="00497A81">
        <w:rPr>
          <w:rFonts w:ascii="Times New Roman" w:eastAsia="Times New Roman" w:hAnsi="Times New Roman" w:cs="Times New Roman"/>
          <w:color w:val="000000"/>
          <w:sz w:val="24"/>
          <w:szCs w:val="24"/>
          <w:shd w:val="clear" w:color="auto" w:fill="FFFFFF"/>
          <w:lang w:val="en-GB" w:eastAsia="de-DE"/>
        </w:rPr>
        <w:t>[who] are assumed to be the best judges of their own welfare”.</w:t>
      </w:r>
      <w:r w:rsidR="00DB5F69"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36"/>
      </w:r>
      <w:r w:rsidR="00DB5F69" w:rsidRPr="00497A81">
        <w:rPr>
          <w:rFonts w:ascii="Times New Roman" w:eastAsia="Times New Roman" w:hAnsi="Times New Roman" w:cs="Times New Roman"/>
          <w:color w:val="000000"/>
          <w:sz w:val="24"/>
          <w:szCs w:val="24"/>
          <w:shd w:val="clear" w:color="auto" w:fill="FFFFFF"/>
          <w:lang w:val="en-GB" w:eastAsia="de-DE"/>
        </w:rPr>
        <w:t xml:space="preserve"> </w:t>
      </w:r>
      <w:r w:rsidR="00BE3C58" w:rsidRPr="00497A81">
        <w:rPr>
          <w:rFonts w:ascii="Times New Roman" w:eastAsia="Times New Roman" w:hAnsi="Times New Roman" w:cs="Times New Roman"/>
          <w:color w:val="000000"/>
          <w:sz w:val="24"/>
          <w:szCs w:val="24"/>
          <w:shd w:val="clear" w:color="auto" w:fill="FFFFFF"/>
          <w:lang w:val="en-GB" w:eastAsia="de-DE"/>
        </w:rPr>
        <w:t>The normative law and economics standard she applies is nonetheless total welfare.</w:t>
      </w:r>
      <w:r w:rsidR="00BE3C58"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37"/>
      </w:r>
      <w:r w:rsidR="00BE3C58" w:rsidRPr="00497A81">
        <w:rPr>
          <w:rFonts w:ascii="Times New Roman" w:eastAsia="Times New Roman" w:hAnsi="Times New Roman" w:cs="Times New Roman"/>
          <w:color w:val="000000"/>
          <w:sz w:val="24"/>
          <w:szCs w:val="24"/>
          <w:shd w:val="clear" w:color="auto" w:fill="FFFFFF"/>
          <w:lang w:val="en-GB" w:eastAsia="de-DE"/>
        </w:rPr>
        <w:t xml:space="preserve"> </w:t>
      </w:r>
      <w:r w:rsidR="00EA3B80">
        <w:rPr>
          <w:rFonts w:ascii="Times New Roman" w:eastAsia="Times New Roman" w:hAnsi="Times New Roman" w:cs="Times New Roman"/>
          <w:color w:val="000000"/>
          <w:sz w:val="24"/>
          <w:szCs w:val="24"/>
          <w:shd w:val="clear" w:color="auto" w:fill="FFFFFF"/>
          <w:lang w:val="en-GB" w:eastAsia="de-DE"/>
        </w:rPr>
        <w:t>I</w:t>
      </w:r>
      <w:r w:rsidR="000754FA" w:rsidRPr="00497A81">
        <w:rPr>
          <w:rFonts w:ascii="Times New Roman" w:eastAsia="Times New Roman" w:hAnsi="Times New Roman" w:cs="Times New Roman"/>
          <w:color w:val="000000"/>
          <w:sz w:val="24"/>
          <w:szCs w:val="24"/>
          <w:shd w:val="clear" w:color="auto" w:fill="FFFFFF"/>
          <w:lang w:val="en-GB" w:eastAsia="de-DE"/>
        </w:rPr>
        <w:t>n</w:t>
      </w:r>
      <w:r w:rsidR="00DB5F69" w:rsidRPr="00497A81">
        <w:rPr>
          <w:rFonts w:ascii="Times New Roman" w:eastAsia="Times New Roman" w:hAnsi="Times New Roman" w:cs="Times New Roman"/>
          <w:color w:val="000000"/>
          <w:sz w:val="24"/>
          <w:szCs w:val="24"/>
          <w:shd w:val="clear" w:color="auto" w:fill="FFFFFF"/>
          <w:lang w:val="en-GB" w:eastAsia="de-DE"/>
        </w:rPr>
        <w:t xml:space="preserve"> our </w:t>
      </w:r>
      <w:r w:rsidR="00427B06">
        <w:rPr>
          <w:rFonts w:ascii="Times New Roman" w:eastAsia="Times New Roman" w:hAnsi="Times New Roman" w:cs="Times New Roman"/>
          <w:color w:val="000000"/>
          <w:sz w:val="24"/>
          <w:szCs w:val="24"/>
          <w:shd w:val="clear" w:color="auto" w:fill="FFFFFF"/>
          <w:lang w:val="en-GB" w:eastAsia="de-DE"/>
        </w:rPr>
        <w:t>reading</w:t>
      </w:r>
      <w:r w:rsidR="00606240" w:rsidRPr="00497A81">
        <w:rPr>
          <w:rFonts w:ascii="Times New Roman" w:eastAsia="Times New Roman" w:hAnsi="Times New Roman" w:cs="Times New Roman"/>
          <w:color w:val="000000"/>
          <w:sz w:val="24"/>
          <w:szCs w:val="24"/>
          <w:shd w:val="clear" w:color="auto" w:fill="FFFFFF"/>
          <w:lang w:val="en-GB" w:eastAsia="de-DE"/>
        </w:rPr>
        <w:t xml:space="preserve"> of the literature</w:t>
      </w:r>
      <w:r w:rsidR="00DB5F69" w:rsidRPr="00497A81">
        <w:rPr>
          <w:rFonts w:ascii="Times New Roman" w:eastAsia="Times New Roman" w:hAnsi="Times New Roman" w:cs="Times New Roman"/>
          <w:color w:val="000000"/>
          <w:sz w:val="24"/>
          <w:szCs w:val="24"/>
          <w:shd w:val="clear" w:color="auto" w:fill="FFFFFF"/>
          <w:lang w:val="en-GB" w:eastAsia="de-DE"/>
        </w:rPr>
        <w:t xml:space="preserve">, </w:t>
      </w:r>
      <w:r w:rsidR="00EA3B80">
        <w:rPr>
          <w:rFonts w:ascii="Times New Roman" w:eastAsia="Times New Roman" w:hAnsi="Times New Roman" w:cs="Times New Roman"/>
          <w:color w:val="000000"/>
          <w:sz w:val="24"/>
          <w:szCs w:val="24"/>
          <w:shd w:val="clear" w:color="auto" w:fill="FFFFFF"/>
          <w:lang w:val="en-GB" w:eastAsia="de-DE"/>
        </w:rPr>
        <w:t xml:space="preserve">consumer sovereignty is a richer and more complex concept. At least </w:t>
      </w:r>
      <w:r w:rsidR="00DB5F69" w:rsidRPr="00DA09BA">
        <w:rPr>
          <w:rFonts w:ascii="Times New Roman" w:eastAsia="Times New Roman" w:hAnsi="Times New Roman" w:cs="Times New Roman"/>
          <w:color w:val="000000"/>
          <w:sz w:val="24"/>
          <w:szCs w:val="24"/>
          <w:shd w:val="clear" w:color="auto" w:fill="FFFFFF"/>
          <w:lang w:val="en-GB" w:eastAsia="de-DE"/>
        </w:rPr>
        <w:t>two conceptions of consumer sovereignty can be found. In the autonomy conception, consumers have to exercise directly their sovereignty by demanding (or not) products.</w:t>
      </w:r>
      <w:r w:rsidR="00DB5F69" w:rsidRPr="00DA09BA">
        <w:rPr>
          <w:rStyle w:val="Rimandonotaapidipagina"/>
          <w:rFonts w:ascii="Times New Roman" w:eastAsia="Times New Roman" w:hAnsi="Times New Roman" w:cs="Times New Roman"/>
          <w:color w:val="000000"/>
          <w:sz w:val="24"/>
          <w:szCs w:val="24"/>
          <w:shd w:val="clear" w:color="auto" w:fill="FFFFFF"/>
          <w:lang w:val="en-GB" w:eastAsia="de-DE"/>
        </w:rPr>
        <w:footnoteReference w:id="38"/>
      </w:r>
      <w:r w:rsidR="00606240" w:rsidRPr="00DA09BA">
        <w:rPr>
          <w:rFonts w:ascii="Times New Roman" w:eastAsia="Times New Roman" w:hAnsi="Times New Roman" w:cs="Times New Roman"/>
          <w:color w:val="000000"/>
          <w:sz w:val="24"/>
          <w:szCs w:val="24"/>
          <w:shd w:val="clear" w:color="auto" w:fill="FFFFFF"/>
          <w:lang w:val="en-GB" w:eastAsia="de-DE"/>
        </w:rPr>
        <w:t xml:space="preserve"> </w:t>
      </w:r>
      <w:r w:rsidR="000754FA" w:rsidRPr="00497A81">
        <w:rPr>
          <w:rFonts w:ascii="Times New Roman" w:eastAsia="Times New Roman" w:hAnsi="Times New Roman" w:cs="Times New Roman"/>
          <w:color w:val="000000"/>
          <w:sz w:val="24"/>
          <w:szCs w:val="24"/>
          <w:shd w:val="clear" w:color="auto" w:fill="FFFFFF"/>
          <w:lang w:val="en-GB" w:eastAsia="de-DE"/>
        </w:rPr>
        <w:t xml:space="preserve">If </w:t>
      </w:r>
      <w:r w:rsidR="00427B06">
        <w:rPr>
          <w:rFonts w:ascii="Times New Roman" w:eastAsia="Times New Roman" w:hAnsi="Times New Roman" w:cs="Times New Roman"/>
          <w:color w:val="000000"/>
          <w:sz w:val="24"/>
          <w:szCs w:val="24"/>
          <w:shd w:val="clear" w:color="auto" w:fill="FFFFFF"/>
          <w:lang w:val="en-GB" w:eastAsia="de-DE"/>
        </w:rPr>
        <w:t xml:space="preserve">the use of </w:t>
      </w:r>
      <w:r w:rsidR="000754FA" w:rsidRPr="00497A81">
        <w:rPr>
          <w:rFonts w:ascii="Times New Roman" w:eastAsia="Times New Roman" w:hAnsi="Times New Roman" w:cs="Times New Roman"/>
          <w:color w:val="000000"/>
          <w:sz w:val="24"/>
          <w:szCs w:val="24"/>
          <w:shd w:val="clear" w:color="auto" w:fill="FFFFFF"/>
          <w:lang w:val="en-GB" w:eastAsia="de-DE"/>
        </w:rPr>
        <w:t xml:space="preserve">this sovereign power is </w:t>
      </w:r>
      <w:r w:rsidR="00EA3B80">
        <w:rPr>
          <w:rFonts w:ascii="Times New Roman" w:eastAsia="Times New Roman" w:hAnsi="Times New Roman" w:cs="Times New Roman"/>
          <w:color w:val="000000"/>
          <w:sz w:val="24"/>
          <w:szCs w:val="24"/>
          <w:shd w:val="clear" w:color="auto" w:fill="FFFFFF"/>
          <w:lang w:val="en-GB" w:eastAsia="de-DE"/>
        </w:rPr>
        <w:t>detrimental to</w:t>
      </w:r>
      <w:r w:rsidR="000754FA" w:rsidRPr="00497A81">
        <w:rPr>
          <w:rFonts w:ascii="Times New Roman" w:eastAsia="Times New Roman" w:hAnsi="Times New Roman" w:cs="Times New Roman"/>
          <w:color w:val="000000"/>
          <w:sz w:val="24"/>
          <w:szCs w:val="24"/>
          <w:shd w:val="clear" w:color="auto" w:fill="FFFFFF"/>
          <w:lang w:val="en-GB" w:eastAsia="de-DE"/>
        </w:rPr>
        <w:t xml:space="preserve"> consumers, then there</w:t>
      </w:r>
      <w:r w:rsidR="00606240" w:rsidRPr="00DA09BA">
        <w:rPr>
          <w:rFonts w:ascii="Times New Roman" w:eastAsia="Times New Roman" w:hAnsi="Times New Roman" w:cs="Times New Roman"/>
          <w:color w:val="000000"/>
          <w:sz w:val="24"/>
          <w:szCs w:val="24"/>
          <w:shd w:val="clear" w:color="auto" w:fill="FFFFFF"/>
          <w:lang w:val="en-GB" w:eastAsia="de-DE"/>
        </w:rPr>
        <w:t xml:space="preserve"> is a reason for limiting </w:t>
      </w:r>
      <w:r w:rsidR="000754FA" w:rsidRPr="00497A81">
        <w:rPr>
          <w:rFonts w:ascii="Times New Roman" w:eastAsia="Times New Roman" w:hAnsi="Times New Roman" w:cs="Times New Roman"/>
          <w:color w:val="000000"/>
          <w:sz w:val="24"/>
          <w:szCs w:val="24"/>
          <w:shd w:val="clear" w:color="auto" w:fill="FFFFFF"/>
          <w:lang w:val="en-GB" w:eastAsia="de-DE"/>
        </w:rPr>
        <w:t>it</w:t>
      </w:r>
      <w:r w:rsidR="00606240" w:rsidRPr="00DA09BA">
        <w:rPr>
          <w:rFonts w:ascii="Times New Roman" w:eastAsia="Times New Roman" w:hAnsi="Times New Roman" w:cs="Times New Roman"/>
          <w:color w:val="000000"/>
          <w:sz w:val="24"/>
          <w:szCs w:val="24"/>
          <w:shd w:val="clear" w:color="auto" w:fill="FFFFFF"/>
          <w:lang w:val="en-GB" w:eastAsia="de-DE"/>
        </w:rPr>
        <w:t>.</w:t>
      </w:r>
      <w:r w:rsidR="00DB5F69" w:rsidRPr="00DA09BA">
        <w:rPr>
          <w:rFonts w:ascii="Times New Roman" w:eastAsia="Times New Roman" w:hAnsi="Times New Roman" w:cs="Times New Roman"/>
          <w:color w:val="000000"/>
          <w:sz w:val="24"/>
          <w:szCs w:val="24"/>
          <w:shd w:val="clear" w:color="auto" w:fill="FFFFFF"/>
          <w:lang w:val="en-GB" w:eastAsia="de-DE"/>
        </w:rPr>
        <w:t xml:space="preserve"> In the welfare conception of consumer sovereignty, instead, the consumer is sovereign also when public authorities are regulating market behaviour in order to increase consumer welfare</w:t>
      </w:r>
      <w:r w:rsidR="002610A1">
        <w:rPr>
          <w:rFonts w:ascii="Times New Roman" w:eastAsia="Times New Roman" w:hAnsi="Times New Roman" w:cs="Times New Roman"/>
          <w:color w:val="000000"/>
          <w:sz w:val="24"/>
          <w:szCs w:val="24"/>
          <w:shd w:val="clear" w:color="auto" w:fill="FFFFFF"/>
          <w:lang w:val="en-GB" w:eastAsia="de-DE"/>
        </w:rPr>
        <w:t xml:space="preserve"> –</w:t>
      </w:r>
      <w:r w:rsidR="00DB5F69" w:rsidRPr="00DA09BA">
        <w:rPr>
          <w:rFonts w:ascii="Times New Roman" w:eastAsia="Times New Roman" w:hAnsi="Times New Roman" w:cs="Times New Roman"/>
          <w:color w:val="000000"/>
          <w:sz w:val="24"/>
          <w:szCs w:val="24"/>
          <w:shd w:val="clear" w:color="auto" w:fill="FFFFFF"/>
          <w:lang w:val="en-GB" w:eastAsia="de-DE"/>
        </w:rPr>
        <w:t xml:space="preserve"> or in</w:t>
      </w:r>
      <w:r w:rsidR="000754FA" w:rsidRPr="00497A81">
        <w:rPr>
          <w:rFonts w:ascii="Times New Roman" w:eastAsia="Times New Roman" w:hAnsi="Times New Roman" w:cs="Times New Roman"/>
          <w:color w:val="000000"/>
          <w:sz w:val="24"/>
          <w:szCs w:val="24"/>
          <w:shd w:val="clear" w:color="auto" w:fill="FFFFFF"/>
          <w:lang w:val="en-GB" w:eastAsia="de-DE"/>
        </w:rPr>
        <w:t xml:space="preserve"> the</w:t>
      </w:r>
      <w:r w:rsidR="00DB5F69" w:rsidRPr="00DA09BA">
        <w:rPr>
          <w:rFonts w:ascii="Times New Roman" w:eastAsia="Times New Roman" w:hAnsi="Times New Roman" w:cs="Times New Roman"/>
          <w:color w:val="000000"/>
          <w:sz w:val="24"/>
          <w:szCs w:val="24"/>
          <w:shd w:val="clear" w:color="auto" w:fill="FFFFFF"/>
          <w:lang w:val="en-GB" w:eastAsia="de-DE"/>
        </w:rPr>
        <w:t xml:space="preserve"> consumers</w:t>
      </w:r>
      <w:r w:rsidR="000754FA" w:rsidRPr="00497A81">
        <w:rPr>
          <w:rFonts w:ascii="Times New Roman" w:eastAsia="Times New Roman" w:hAnsi="Times New Roman" w:cs="Times New Roman"/>
          <w:color w:val="000000"/>
          <w:sz w:val="24"/>
          <w:szCs w:val="24"/>
          <w:shd w:val="clear" w:color="auto" w:fill="FFFFFF"/>
          <w:lang w:val="en-GB" w:eastAsia="de-DE"/>
        </w:rPr>
        <w:t>’ interest</w:t>
      </w:r>
      <w:r w:rsidR="00DB5F69" w:rsidRPr="00DA09BA">
        <w:rPr>
          <w:rFonts w:ascii="Times New Roman" w:eastAsia="Times New Roman" w:hAnsi="Times New Roman" w:cs="Times New Roman"/>
          <w:color w:val="000000"/>
          <w:sz w:val="24"/>
          <w:szCs w:val="24"/>
          <w:shd w:val="clear" w:color="auto" w:fill="FFFFFF"/>
          <w:lang w:val="en-GB" w:eastAsia="de-DE"/>
        </w:rPr>
        <w:t>.</w:t>
      </w:r>
      <w:r w:rsidR="00606240" w:rsidRPr="00497A81">
        <w:rPr>
          <w:rFonts w:ascii="Times New Roman" w:eastAsia="Times New Roman" w:hAnsi="Times New Roman" w:cs="Times New Roman"/>
          <w:color w:val="000000"/>
          <w:sz w:val="24"/>
          <w:szCs w:val="24"/>
          <w:shd w:val="clear" w:color="auto" w:fill="FFFFFF"/>
          <w:lang w:val="en-GB" w:eastAsia="de-DE"/>
        </w:rPr>
        <w:t xml:space="preserve"> </w:t>
      </w:r>
      <w:r w:rsidR="000754FA" w:rsidRPr="00497A81">
        <w:rPr>
          <w:rFonts w:ascii="Times New Roman" w:eastAsia="Times New Roman" w:hAnsi="Times New Roman" w:cs="Times New Roman"/>
          <w:color w:val="000000"/>
          <w:sz w:val="24"/>
          <w:szCs w:val="24"/>
          <w:shd w:val="clear" w:color="auto" w:fill="FFFFFF"/>
          <w:lang w:val="en-GB" w:eastAsia="de-DE"/>
        </w:rPr>
        <w:t xml:space="preserve">The </w:t>
      </w:r>
      <w:r w:rsidR="00EA3B80">
        <w:rPr>
          <w:rFonts w:ascii="Times New Roman" w:eastAsia="Times New Roman" w:hAnsi="Times New Roman" w:cs="Times New Roman"/>
          <w:color w:val="000000"/>
          <w:sz w:val="24"/>
          <w:szCs w:val="24"/>
          <w:shd w:val="clear" w:color="auto" w:fill="FFFFFF"/>
          <w:lang w:val="en-GB" w:eastAsia="de-DE"/>
        </w:rPr>
        <w:t xml:space="preserve">main </w:t>
      </w:r>
      <w:r w:rsidR="000754FA" w:rsidRPr="00497A81">
        <w:rPr>
          <w:rFonts w:ascii="Times New Roman" w:eastAsia="Times New Roman" w:hAnsi="Times New Roman" w:cs="Times New Roman"/>
          <w:color w:val="000000"/>
          <w:sz w:val="24"/>
          <w:szCs w:val="24"/>
          <w:shd w:val="clear" w:color="auto" w:fill="FFFFFF"/>
          <w:lang w:val="en-GB" w:eastAsia="de-DE"/>
        </w:rPr>
        <w:t>problem</w:t>
      </w:r>
      <w:r w:rsidR="00EA3B80">
        <w:rPr>
          <w:rFonts w:ascii="Times New Roman" w:eastAsia="Times New Roman" w:hAnsi="Times New Roman" w:cs="Times New Roman"/>
          <w:color w:val="000000"/>
          <w:sz w:val="24"/>
          <w:szCs w:val="24"/>
          <w:shd w:val="clear" w:color="auto" w:fill="FFFFFF"/>
          <w:lang w:val="en-GB" w:eastAsia="de-DE"/>
        </w:rPr>
        <w:t xml:space="preserve"> of Parisi’s and Cseres</w:t>
      </w:r>
      <w:r w:rsidR="002610A1">
        <w:rPr>
          <w:rFonts w:ascii="Times New Roman" w:eastAsia="Times New Roman" w:hAnsi="Times New Roman" w:cs="Times New Roman"/>
          <w:color w:val="000000"/>
          <w:sz w:val="24"/>
          <w:szCs w:val="24"/>
          <w:shd w:val="clear" w:color="auto" w:fill="FFFFFF"/>
          <w:lang w:val="en-GB" w:eastAsia="de-DE"/>
        </w:rPr>
        <w:t>’</w:t>
      </w:r>
      <w:r w:rsidR="00EA3B80">
        <w:rPr>
          <w:rFonts w:ascii="Times New Roman" w:eastAsia="Times New Roman" w:hAnsi="Times New Roman" w:cs="Times New Roman"/>
          <w:color w:val="000000"/>
          <w:sz w:val="24"/>
          <w:szCs w:val="24"/>
          <w:shd w:val="clear" w:color="auto" w:fill="FFFFFF"/>
          <w:lang w:val="en-GB" w:eastAsia="de-DE"/>
        </w:rPr>
        <w:t xml:space="preserve"> conceptions of consumer sovereignty</w:t>
      </w:r>
      <w:r w:rsidR="000754FA" w:rsidRPr="00497A81">
        <w:rPr>
          <w:rFonts w:ascii="Times New Roman" w:eastAsia="Times New Roman" w:hAnsi="Times New Roman" w:cs="Times New Roman"/>
          <w:color w:val="000000"/>
          <w:sz w:val="24"/>
          <w:szCs w:val="24"/>
          <w:shd w:val="clear" w:color="auto" w:fill="FFFFFF"/>
          <w:lang w:val="en-GB" w:eastAsia="de-DE"/>
        </w:rPr>
        <w:t xml:space="preserve"> is</w:t>
      </w:r>
      <w:r w:rsidR="00EA3B80">
        <w:rPr>
          <w:rFonts w:ascii="Times New Roman" w:eastAsia="Times New Roman" w:hAnsi="Times New Roman" w:cs="Times New Roman"/>
          <w:color w:val="000000"/>
          <w:sz w:val="24"/>
          <w:szCs w:val="24"/>
          <w:shd w:val="clear" w:color="auto" w:fill="FFFFFF"/>
          <w:lang w:val="en-GB" w:eastAsia="de-DE"/>
        </w:rPr>
        <w:t xml:space="preserve"> not semantic (what are the elements of the concept), but pragmatic (what is the use of the concept). In fact,</w:t>
      </w:r>
      <w:r w:rsidR="000754FA" w:rsidRPr="00497A81">
        <w:rPr>
          <w:rFonts w:ascii="Times New Roman" w:eastAsia="Times New Roman" w:hAnsi="Times New Roman" w:cs="Times New Roman"/>
          <w:color w:val="000000"/>
          <w:sz w:val="24"/>
          <w:szCs w:val="24"/>
          <w:shd w:val="clear" w:color="auto" w:fill="FFFFFF"/>
          <w:lang w:val="en-GB" w:eastAsia="de-DE"/>
        </w:rPr>
        <w:t xml:space="preserve"> </w:t>
      </w:r>
      <w:r w:rsidR="00EA3B80">
        <w:rPr>
          <w:rFonts w:ascii="Times New Roman" w:eastAsia="Times New Roman" w:hAnsi="Times New Roman" w:cs="Times New Roman"/>
          <w:color w:val="000000"/>
          <w:sz w:val="24"/>
          <w:szCs w:val="24"/>
          <w:shd w:val="clear" w:color="auto" w:fill="FFFFFF"/>
          <w:lang w:val="en-GB" w:eastAsia="de-DE"/>
        </w:rPr>
        <w:t>they</w:t>
      </w:r>
      <w:r w:rsidR="000754FA" w:rsidRPr="00497A81">
        <w:rPr>
          <w:rFonts w:ascii="Times New Roman" w:eastAsia="Times New Roman" w:hAnsi="Times New Roman" w:cs="Times New Roman"/>
          <w:color w:val="000000"/>
          <w:sz w:val="24"/>
          <w:szCs w:val="24"/>
          <w:shd w:val="clear" w:color="auto" w:fill="FFFFFF"/>
          <w:lang w:val="en-GB" w:eastAsia="de-DE"/>
        </w:rPr>
        <w:t xml:space="preserve"> do not raise consumer sovereignty to the status of a microeconomic market rationale, as the </w:t>
      </w:r>
      <w:r w:rsidR="00EA3B80">
        <w:rPr>
          <w:rFonts w:ascii="Times New Roman" w:eastAsia="Times New Roman" w:hAnsi="Times New Roman" w:cs="Times New Roman"/>
          <w:color w:val="000000"/>
          <w:sz w:val="24"/>
          <w:szCs w:val="24"/>
          <w:shd w:val="clear" w:color="auto" w:fill="FFFFFF"/>
          <w:lang w:val="en-GB" w:eastAsia="de-DE"/>
        </w:rPr>
        <w:t xml:space="preserve">economic </w:t>
      </w:r>
      <w:r w:rsidR="000754FA" w:rsidRPr="00497A81">
        <w:rPr>
          <w:rFonts w:ascii="Times New Roman" w:eastAsia="Times New Roman" w:hAnsi="Times New Roman" w:cs="Times New Roman"/>
          <w:color w:val="000000"/>
          <w:sz w:val="24"/>
          <w:szCs w:val="24"/>
          <w:shd w:val="clear" w:color="auto" w:fill="FFFFFF"/>
          <w:lang w:val="en-GB" w:eastAsia="de-DE"/>
        </w:rPr>
        <w:t xml:space="preserve">literature </w:t>
      </w:r>
      <w:r w:rsidR="00EA3B80">
        <w:rPr>
          <w:rFonts w:ascii="Times New Roman" w:eastAsia="Times New Roman" w:hAnsi="Times New Roman" w:cs="Times New Roman"/>
          <w:color w:val="000000"/>
          <w:sz w:val="24"/>
          <w:szCs w:val="24"/>
          <w:shd w:val="clear" w:color="auto" w:fill="FFFFFF"/>
          <w:lang w:val="en-GB" w:eastAsia="de-DE"/>
        </w:rPr>
        <w:t>on</w:t>
      </w:r>
      <w:r w:rsidR="000754FA" w:rsidRPr="00497A81">
        <w:rPr>
          <w:rFonts w:ascii="Times New Roman" w:eastAsia="Times New Roman" w:hAnsi="Times New Roman" w:cs="Times New Roman"/>
          <w:color w:val="000000"/>
          <w:sz w:val="24"/>
          <w:szCs w:val="24"/>
          <w:shd w:val="clear" w:color="auto" w:fill="FFFFFF"/>
          <w:lang w:val="en-GB" w:eastAsia="de-DE"/>
        </w:rPr>
        <w:t xml:space="preserve"> the concept would suggest. </w:t>
      </w:r>
      <w:r w:rsidR="00DA515D" w:rsidRPr="00497A81">
        <w:rPr>
          <w:rFonts w:ascii="Times New Roman" w:eastAsia="Times New Roman" w:hAnsi="Times New Roman" w:cs="Times New Roman"/>
          <w:color w:val="000000"/>
          <w:sz w:val="24"/>
          <w:szCs w:val="24"/>
          <w:shd w:val="clear" w:color="auto" w:fill="FFFFFF"/>
          <w:lang w:val="en-GB" w:eastAsia="de-DE"/>
        </w:rPr>
        <w:t>T</w:t>
      </w:r>
      <w:r w:rsidR="007E063F" w:rsidRPr="00497A81">
        <w:rPr>
          <w:rFonts w:ascii="Times New Roman" w:eastAsia="Times New Roman" w:hAnsi="Times New Roman" w:cs="Times New Roman"/>
          <w:color w:val="000000"/>
          <w:sz w:val="24"/>
          <w:szCs w:val="24"/>
          <w:shd w:val="clear" w:color="auto" w:fill="FFFFFF"/>
          <w:lang w:val="en-GB" w:eastAsia="de-DE"/>
        </w:rPr>
        <w:t xml:space="preserve">he argument just sketched should be sufficient to accept consumer sovereignty as a challenger of the mainstream approach based on overall value. Consumer sovereignty is a normative standard grounded in </w:t>
      </w:r>
      <w:r w:rsidR="00C47F0E" w:rsidRPr="00497A81">
        <w:rPr>
          <w:rFonts w:ascii="Times New Roman" w:eastAsia="Times New Roman" w:hAnsi="Times New Roman" w:cs="Times New Roman"/>
          <w:color w:val="000000"/>
          <w:sz w:val="24"/>
          <w:szCs w:val="24"/>
          <w:shd w:val="clear" w:color="auto" w:fill="FFFFFF"/>
          <w:lang w:val="en-GB" w:eastAsia="de-DE"/>
        </w:rPr>
        <w:t>(micro)</w:t>
      </w:r>
      <w:r w:rsidR="007E063F" w:rsidRPr="00497A81">
        <w:rPr>
          <w:rFonts w:ascii="Times New Roman" w:eastAsia="Times New Roman" w:hAnsi="Times New Roman" w:cs="Times New Roman"/>
          <w:color w:val="000000"/>
          <w:sz w:val="24"/>
          <w:szCs w:val="24"/>
          <w:shd w:val="clear" w:color="auto" w:fill="FFFFFF"/>
          <w:lang w:val="en-GB" w:eastAsia="de-DE"/>
        </w:rPr>
        <w:t>economic theory, afterall!</w:t>
      </w:r>
      <w:r w:rsidR="00DA515D" w:rsidRPr="00497A81">
        <w:rPr>
          <w:rFonts w:ascii="Times New Roman" w:eastAsia="Times New Roman" w:hAnsi="Times New Roman" w:cs="Times New Roman"/>
          <w:color w:val="000000"/>
          <w:sz w:val="24"/>
          <w:szCs w:val="24"/>
          <w:shd w:val="clear" w:color="auto" w:fill="FFFFFF"/>
          <w:lang w:val="en-GB" w:eastAsia="de-DE"/>
        </w:rPr>
        <w:t xml:space="preserve"> </w:t>
      </w:r>
    </w:p>
    <w:p w14:paraId="0D2A843B" w14:textId="77777777" w:rsidR="007E063F" w:rsidRPr="00497A81" w:rsidRDefault="007E063F" w:rsidP="00431D43">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p>
    <w:p w14:paraId="5277BA51" w14:textId="25A152DD" w:rsidR="006A4EFC" w:rsidRDefault="007E063F" w:rsidP="00431D43">
      <w:pPr>
        <w:spacing w:after="0" w:line="240" w:lineRule="auto"/>
        <w:jc w:val="both"/>
        <w:rPr>
          <w:rFonts w:ascii="Times New Roman" w:eastAsia="SimSun" w:hAnsi="Times New Roman" w:cs="Times New Roman"/>
          <w:iCs/>
          <w:sz w:val="24"/>
          <w:szCs w:val="24"/>
          <w:lang w:val="en-GB" w:eastAsia="zh-CN"/>
        </w:rPr>
      </w:pPr>
      <w:r w:rsidRPr="00497A81">
        <w:rPr>
          <w:rFonts w:ascii="Times New Roman" w:eastAsia="Times New Roman" w:hAnsi="Times New Roman" w:cs="Times New Roman"/>
          <w:color w:val="000000"/>
          <w:sz w:val="24"/>
          <w:szCs w:val="24"/>
          <w:shd w:val="clear" w:color="auto" w:fill="FFFFFF"/>
          <w:lang w:val="en-GB" w:eastAsia="de-DE"/>
        </w:rPr>
        <w:t>b’) Why is the normative status of shareholders, and investors more generally, relevant for market analysis? One may observe that the market and the firm are two different institutions and, therefore, they can be governed by different normative standards. Against this view, t</w:t>
      </w:r>
      <w:r w:rsidR="005A3543" w:rsidRPr="00497A81">
        <w:rPr>
          <w:rFonts w:ascii="Times New Roman" w:eastAsia="Times New Roman" w:hAnsi="Times New Roman" w:cs="Times New Roman"/>
          <w:color w:val="000000"/>
          <w:sz w:val="24"/>
          <w:szCs w:val="24"/>
          <w:shd w:val="clear" w:color="auto" w:fill="FFFFFF"/>
          <w:lang w:val="en-GB" w:eastAsia="de-DE"/>
        </w:rPr>
        <w:t xml:space="preserve">here </w:t>
      </w:r>
      <w:r w:rsidR="00933929" w:rsidRPr="00497A81">
        <w:rPr>
          <w:rFonts w:ascii="Times New Roman" w:eastAsia="Times New Roman" w:hAnsi="Times New Roman" w:cs="Times New Roman"/>
          <w:color w:val="000000"/>
          <w:sz w:val="24"/>
          <w:szCs w:val="24"/>
          <w:shd w:val="clear" w:color="auto" w:fill="FFFFFF"/>
          <w:lang w:val="en-GB" w:eastAsia="de-DE"/>
        </w:rPr>
        <w:t xml:space="preserve">is a rather straightforward </w:t>
      </w:r>
      <w:r w:rsidR="00933929" w:rsidRPr="003B7D33">
        <w:rPr>
          <w:rFonts w:ascii="Times New Roman" w:eastAsia="Times New Roman" w:hAnsi="Times New Roman" w:cs="Times New Roman"/>
          <w:color w:val="000000"/>
          <w:sz w:val="24"/>
          <w:szCs w:val="24"/>
          <w:shd w:val="clear" w:color="auto" w:fill="FFFFFF"/>
          <w:lang w:val="en-GB" w:eastAsia="de-DE"/>
        </w:rPr>
        <w:t xml:space="preserve">– indeed </w:t>
      </w:r>
      <w:r w:rsidR="00933929" w:rsidRPr="003B7D33">
        <w:rPr>
          <w:rFonts w:ascii="Times New Roman" w:eastAsia="Times New Roman" w:hAnsi="Times New Roman" w:cs="Times New Roman"/>
          <w:i/>
          <w:color w:val="000000"/>
          <w:sz w:val="24"/>
          <w:szCs w:val="24"/>
          <w:shd w:val="clear" w:color="auto" w:fill="FFFFFF"/>
          <w:lang w:val="en-GB" w:eastAsia="de-DE"/>
        </w:rPr>
        <w:t>‘logical’ and hence ‘formal’ – answer</w:t>
      </w:r>
      <w:r w:rsidR="00933929" w:rsidRPr="003B7D33">
        <w:rPr>
          <w:rFonts w:ascii="Times New Roman" w:eastAsia="Times New Roman" w:hAnsi="Times New Roman" w:cs="Times New Roman"/>
          <w:color w:val="000000"/>
          <w:sz w:val="24"/>
          <w:szCs w:val="24"/>
          <w:shd w:val="clear" w:color="auto" w:fill="FFFFFF"/>
          <w:lang w:val="en-GB" w:eastAsia="de-DE"/>
        </w:rPr>
        <w:t xml:space="preserve"> to the question </w:t>
      </w:r>
      <w:r w:rsidRPr="003B7D33">
        <w:rPr>
          <w:rFonts w:ascii="Times New Roman" w:eastAsia="Times New Roman" w:hAnsi="Times New Roman" w:cs="Times New Roman"/>
          <w:color w:val="000000"/>
          <w:sz w:val="24"/>
          <w:szCs w:val="24"/>
          <w:shd w:val="clear" w:color="auto" w:fill="FFFFFF"/>
          <w:lang w:val="en-GB" w:eastAsia="de-DE"/>
        </w:rPr>
        <w:t xml:space="preserve">just </w:t>
      </w:r>
      <w:r w:rsidR="00933929" w:rsidRPr="003B7D33">
        <w:rPr>
          <w:rFonts w:ascii="Times New Roman" w:eastAsia="Times New Roman" w:hAnsi="Times New Roman" w:cs="Times New Roman"/>
          <w:color w:val="000000"/>
          <w:sz w:val="24"/>
          <w:szCs w:val="24"/>
          <w:shd w:val="clear" w:color="auto" w:fill="FFFFFF"/>
          <w:lang w:val="en-GB" w:eastAsia="de-DE"/>
        </w:rPr>
        <w:t xml:space="preserve">asked: </w:t>
      </w:r>
      <w:r w:rsidR="003F0921" w:rsidRPr="003B7D33">
        <w:rPr>
          <w:rFonts w:ascii="Times New Roman" w:eastAsia="Times New Roman" w:hAnsi="Times New Roman" w:cs="Times New Roman"/>
          <w:color w:val="000000"/>
          <w:sz w:val="24"/>
          <w:szCs w:val="24"/>
          <w:shd w:val="clear" w:color="auto" w:fill="FFFFFF"/>
          <w:lang w:val="en-GB" w:eastAsia="de-DE"/>
        </w:rPr>
        <w:t xml:space="preserve">The key idea is that the </w:t>
      </w:r>
      <w:r w:rsidR="002F09AD" w:rsidRPr="003B7D33">
        <w:rPr>
          <w:rFonts w:ascii="Times New Roman" w:eastAsia="Times New Roman" w:hAnsi="Times New Roman" w:cs="Times New Roman"/>
          <w:color w:val="000000"/>
          <w:sz w:val="24"/>
          <w:szCs w:val="24"/>
          <w:shd w:val="clear" w:color="auto" w:fill="FFFFFF"/>
          <w:lang w:val="en-GB" w:eastAsia="de-DE"/>
        </w:rPr>
        <w:t xml:space="preserve">concept </w:t>
      </w:r>
      <w:r w:rsidR="002D1E77" w:rsidRPr="003B7D33">
        <w:rPr>
          <w:rFonts w:ascii="Times New Roman" w:eastAsia="SimSun" w:hAnsi="Times New Roman" w:cs="Times New Roman"/>
          <w:iCs/>
          <w:sz w:val="24"/>
          <w:szCs w:val="24"/>
          <w:lang w:val="en-GB" w:eastAsia="zh-CN"/>
        </w:rPr>
        <w:t xml:space="preserve">of investor </w:t>
      </w:r>
      <w:r w:rsidR="003F0921" w:rsidRPr="003B7D33">
        <w:rPr>
          <w:rFonts w:ascii="Times New Roman" w:eastAsia="SimSun" w:hAnsi="Times New Roman" w:cs="Times New Roman"/>
          <w:iCs/>
          <w:sz w:val="24"/>
          <w:szCs w:val="24"/>
          <w:lang w:val="en-GB" w:eastAsia="zh-CN"/>
        </w:rPr>
        <w:t xml:space="preserve">– irrespective of whether the investment is </w:t>
      </w:r>
      <w:r w:rsidR="00AC0611" w:rsidRPr="003B7D33">
        <w:rPr>
          <w:rFonts w:ascii="Times New Roman" w:eastAsia="SimSun" w:hAnsi="Times New Roman" w:cs="Times New Roman"/>
          <w:iCs/>
          <w:sz w:val="24"/>
          <w:szCs w:val="24"/>
          <w:lang w:val="en-GB" w:eastAsia="zh-CN"/>
        </w:rPr>
        <w:t xml:space="preserve">made </w:t>
      </w:r>
      <w:r w:rsidR="003F0921" w:rsidRPr="003B7D33">
        <w:rPr>
          <w:rFonts w:ascii="Times New Roman" w:eastAsia="SimSun" w:hAnsi="Times New Roman" w:cs="Times New Roman"/>
          <w:iCs/>
          <w:sz w:val="24"/>
          <w:szCs w:val="24"/>
          <w:lang w:val="en-GB" w:eastAsia="zh-CN"/>
        </w:rPr>
        <w:t xml:space="preserve">in shares or in bonds – </w:t>
      </w:r>
      <w:r w:rsidR="002D1E77" w:rsidRPr="003B7D33">
        <w:rPr>
          <w:rFonts w:ascii="Times New Roman" w:eastAsia="SimSun" w:hAnsi="Times New Roman" w:cs="Times New Roman"/>
          <w:iCs/>
          <w:sz w:val="24"/>
          <w:szCs w:val="24"/>
          <w:lang w:val="en-GB" w:eastAsia="zh-CN"/>
        </w:rPr>
        <w:t>is a particular instantiation of the concept of consumer</w:t>
      </w:r>
      <w:r w:rsidR="00431D43" w:rsidRPr="003B7D33">
        <w:rPr>
          <w:rFonts w:ascii="Times New Roman" w:eastAsia="SimSun" w:hAnsi="Times New Roman" w:cs="Times New Roman"/>
          <w:iCs/>
          <w:sz w:val="24"/>
          <w:szCs w:val="24"/>
          <w:lang w:val="en-GB" w:eastAsia="zh-CN"/>
        </w:rPr>
        <w:t>.</w:t>
      </w:r>
      <w:r w:rsidR="00C47F0E" w:rsidRPr="003B7D33">
        <w:rPr>
          <w:rFonts w:ascii="Times New Roman" w:eastAsia="SimSun" w:hAnsi="Times New Roman" w:cs="Times New Roman"/>
          <w:iCs/>
          <w:sz w:val="24"/>
          <w:szCs w:val="24"/>
          <w:lang w:val="en-GB" w:eastAsia="zh-CN"/>
        </w:rPr>
        <w:t xml:space="preserve"> Hence, the principal agent relation accepted in mainstream corporate governance literature is a particular instantiation of consumer sovereignty – particular because related to the specific market of </w:t>
      </w:r>
      <w:r w:rsidR="00C47F0E" w:rsidRPr="003B7D33">
        <w:rPr>
          <w:rFonts w:ascii="Times New Roman" w:eastAsia="SimSun" w:hAnsi="Times New Roman" w:cs="Times New Roman"/>
          <w:iCs/>
          <w:sz w:val="24"/>
          <w:szCs w:val="24"/>
          <w:lang w:val="en-GB" w:eastAsia="zh-CN"/>
        </w:rPr>
        <w:lastRenderedPageBreak/>
        <w:t>financial investment.</w:t>
      </w:r>
      <w:r w:rsidR="00431D43" w:rsidRPr="003B7D33">
        <w:rPr>
          <w:rFonts w:ascii="Times New Roman" w:eastAsia="SimSun" w:hAnsi="Times New Roman" w:cs="Times New Roman"/>
          <w:iCs/>
          <w:sz w:val="24"/>
          <w:szCs w:val="24"/>
          <w:lang w:val="en-GB" w:eastAsia="zh-CN"/>
        </w:rPr>
        <w:t xml:space="preserve"> The idea</w:t>
      </w:r>
      <w:r w:rsidRPr="003B7D33">
        <w:rPr>
          <w:rFonts w:ascii="Times New Roman" w:eastAsia="SimSun" w:hAnsi="Times New Roman" w:cs="Times New Roman"/>
          <w:iCs/>
          <w:sz w:val="24"/>
          <w:szCs w:val="24"/>
          <w:lang w:val="en-GB" w:eastAsia="zh-CN"/>
        </w:rPr>
        <w:t xml:space="preserve"> behind this claim</w:t>
      </w:r>
      <w:r w:rsidR="00431D43" w:rsidRPr="003B7D33">
        <w:rPr>
          <w:rFonts w:ascii="Times New Roman" w:eastAsia="SimSun" w:hAnsi="Times New Roman" w:cs="Times New Roman"/>
          <w:iCs/>
          <w:sz w:val="24"/>
          <w:szCs w:val="24"/>
          <w:lang w:val="en-GB" w:eastAsia="zh-CN"/>
        </w:rPr>
        <w:t xml:space="preserve"> is that</w:t>
      </w:r>
      <w:r w:rsidR="003F0921" w:rsidRPr="003B7D33">
        <w:rPr>
          <w:rFonts w:ascii="Times New Roman" w:eastAsia="SimSun" w:hAnsi="Times New Roman" w:cs="Times New Roman"/>
          <w:iCs/>
          <w:sz w:val="24"/>
          <w:szCs w:val="24"/>
          <w:lang w:val="en-GB" w:eastAsia="zh-CN"/>
        </w:rPr>
        <w:t xml:space="preserve"> </w:t>
      </w:r>
      <w:r w:rsidR="00431D43" w:rsidRPr="003B7D33">
        <w:rPr>
          <w:rFonts w:ascii="Times New Roman" w:eastAsia="SimSun" w:hAnsi="Times New Roman" w:cs="Times New Roman"/>
          <w:iCs/>
          <w:sz w:val="24"/>
          <w:szCs w:val="24"/>
          <w:lang w:val="en-GB" w:eastAsia="zh-CN"/>
        </w:rPr>
        <w:t>e</w:t>
      </w:r>
      <w:r w:rsidR="002D1E77" w:rsidRPr="003B7D33">
        <w:rPr>
          <w:rFonts w:ascii="Times New Roman" w:eastAsia="SimSun" w:hAnsi="Times New Roman" w:cs="Times New Roman"/>
          <w:iCs/>
          <w:sz w:val="24"/>
          <w:szCs w:val="24"/>
          <w:lang w:val="en-GB" w:eastAsia="zh-CN"/>
        </w:rPr>
        <w:t xml:space="preserve">ach agent endowed with some wealth faces a choice: consume today or invest today in order to consume (hopefully more) tomorrow. Accordingly, the investor of today is the consumer of tomorrow. </w:t>
      </w:r>
      <w:r w:rsidR="003F0921" w:rsidRPr="003B7D33">
        <w:rPr>
          <w:rFonts w:ascii="Times New Roman" w:eastAsia="SimSun" w:hAnsi="Times New Roman" w:cs="Times New Roman"/>
          <w:iCs/>
          <w:sz w:val="24"/>
          <w:szCs w:val="24"/>
          <w:lang w:val="en-GB" w:eastAsia="zh-CN"/>
        </w:rPr>
        <w:t>Also</w:t>
      </w:r>
      <w:r w:rsidR="003F0921" w:rsidRPr="00497A81">
        <w:rPr>
          <w:rFonts w:ascii="Times New Roman" w:eastAsia="SimSun" w:hAnsi="Times New Roman" w:cs="Times New Roman"/>
          <w:iCs/>
          <w:sz w:val="24"/>
          <w:szCs w:val="24"/>
          <w:lang w:val="en-GB" w:eastAsia="zh-CN"/>
        </w:rPr>
        <w:t xml:space="preserve"> on the side of the instruments into which the consumer/investor ‘invests’ his money, there is this parallelism: the existence and function of the firm is explained in </w:t>
      </w:r>
      <w:r w:rsidR="002D1E77" w:rsidRPr="00497A81">
        <w:rPr>
          <w:rFonts w:ascii="Times New Roman" w:eastAsia="SimSun" w:hAnsi="Times New Roman" w:cs="Times New Roman"/>
          <w:iCs/>
          <w:sz w:val="24"/>
          <w:szCs w:val="24"/>
          <w:lang w:val="en-GB" w:eastAsia="zh-CN"/>
        </w:rPr>
        <w:t>economic literature</w:t>
      </w:r>
      <w:r w:rsidR="003F0921" w:rsidRPr="00497A81">
        <w:rPr>
          <w:rFonts w:ascii="Times New Roman" w:eastAsia="SimSun" w:hAnsi="Times New Roman" w:cs="Times New Roman"/>
          <w:iCs/>
          <w:sz w:val="24"/>
          <w:szCs w:val="24"/>
          <w:lang w:val="en-GB" w:eastAsia="zh-CN"/>
        </w:rPr>
        <w:t xml:space="preserve"> in terms of minimization of transaction costs and namely as an alternative to markets</w:t>
      </w:r>
      <w:r w:rsidR="00431D43" w:rsidRPr="00497A81">
        <w:rPr>
          <w:rFonts w:ascii="Times New Roman" w:eastAsia="SimSun" w:hAnsi="Times New Roman" w:cs="Times New Roman"/>
          <w:iCs/>
          <w:sz w:val="24"/>
          <w:szCs w:val="24"/>
          <w:lang w:val="en-GB" w:eastAsia="zh-CN"/>
        </w:rPr>
        <w:t>.</w:t>
      </w:r>
      <w:r w:rsidR="002D1E77" w:rsidRPr="00497A81">
        <w:rPr>
          <w:rFonts w:ascii="Times New Roman" w:eastAsia="SimSun" w:hAnsi="Times New Roman" w:cs="Times New Roman"/>
          <w:iCs/>
          <w:sz w:val="24"/>
          <w:szCs w:val="24"/>
          <w:lang w:val="en-GB" w:eastAsia="zh-CN"/>
        </w:rPr>
        <w:t xml:space="preserve"> </w:t>
      </w:r>
      <w:r w:rsidR="00962BF6" w:rsidRPr="00497A81">
        <w:rPr>
          <w:rFonts w:ascii="Times New Roman" w:eastAsia="SimSun" w:hAnsi="Times New Roman" w:cs="Times New Roman"/>
          <w:iCs/>
          <w:sz w:val="24"/>
          <w:szCs w:val="24"/>
          <w:lang w:val="en-GB" w:eastAsia="zh-CN"/>
        </w:rPr>
        <w:t xml:space="preserve">The arrangement as a firm should be preferred if the </w:t>
      </w:r>
      <w:r w:rsidR="00431D43" w:rsidRPr="00497A81">
        <w:rPr>
          <w:rFonts w:ascii="Times New Roman" w:eastAsia="SimSun" w:hAnsi="Times New Roman" w:cs="Times New Roman"/>
          <w:iCs/>
          <w:sz w:val="24"/>
          <w:szCs w:val="24"/>
          <w:lang w:val="en-GB" w:eastAsia="zh-CN"/>
        </w:rPr>
        <w:t xml:space="preserve">advantages of </w:t>
      </w:r>
      <w:r w:rsidR="00962BF6" w:rsidRPr="00497A81">
        <w:rPr>
          <w:rFonts w:ascii="Times New Roman" w:eastAsia="SimSun" w:hAnsi="Times New Roman" w:cs="Times New Roman"/>
          <w:iCs/>
          <w:sz w:val="24"/>
          <w:szCs w:val="24"/>
          <w:lang w:val="en-GB" w:eastAsia="zh-CN"/>
        </w:rPr>
        <w:t xml:space="preserve">the </w:t>
      </w:r>
      <w:r w:rsidR="00431D43" w:rsidRPr="00497A81">
        <w:rPr>
          <w:rFonts w:ascii="Times New Roman" w:eastAsia="SimSun" w:hAnsi="Times New Roman" w:cs="Times New Roman"/>
          <w:iCs/>
          <w:sz w:val="24"/>
          <w:szCs w:val="24"/>
          <w:lang w:val="en-GB" w:eastAsia="zh-CN"/>
        </w:rPr>
        <w:t xml:space="preserve">arrangement </w:t>
      </w:r>
      <w:r w:rsidR="00962BF6" w:rsidRPr="00497A81">
        <w:rPr>
          <w:rFonts w:ascii="Times New Roman" w:eastAsia="SimSun" w:hAnsi="Times New Roman" w:cs="Times New Roman"/>
          <w:iCs/>
          <w:sz w:val="24"/>
          <w:szCs w:val="24"/>
          <w:lang w:val="en-GB" w:eastAsia="zh-CN"/>
        </w:rPr>
        <w:t>outweigh its disadvantages</w:t>
      </w:r>
      <w:r w:rsidR="00431D43" w:rsidRPr="00497A81">
        <w:rPr>
          <w:rFonts w:ascii="Times New Roman" w:eastAsia="SimSun" w:hAnsi="Times New Roman" w:cs="Times New Roman"/>
          <w:iCs/>
          <w:sz w:val="24"/>
          <w:szCs w:val="24"/>
          <w:lang w:val="en-GB" w:eastAsia="zh-CN"/>
        </w:rPr>
        <w:t xml:space="preserve"> – with</w:t>
      </w:r>
      <w:r w:rsidR="00962BF6" w:rsidRPr="00497A81">
        <w:rPr>
          <w:rFonts w:ascii="Times New Roman" w:eastAsia="SimSun" w:hAnsi="Times New Roman" w:cs="Times New Roman"/>
          <w:iCs/>
          <w:sz w:val="24"/>
          <w:szCs w:val="24"/>
          <w:lang w:val="en-GB" w:eastAsia="zh-CN"/>
        </w:rPr>
        <w:t xml:space="preserve"> the advantages consisting in</w:t>
      </w:r>
      <w:r w:rsidR="00431D43" w:rsidRPr="00497A81">
        <w:rPr>
          <w:rFonts w:ascii="Times New Roman" w:eastAsia="SimSun" w:hAnsi="Times New Roman" w:cs="Times New Roman"/>
          <w:iCs/>
          <w:sz w:val="24"/>
          <w:szCs w:val="24"/>
          <w:lang w:val="en-GB" w:eastAsia="zh-CN"/>
        </w:rPr>
        <w:t xml:space="preserve"> more stability and hierarchical command and search costs </w:t>
      </w:r>
      <w:r w:rsidR="00962BF6" w:rsidRPr="00497A81">
        <w:rPr>
          <w:rFonts w:ascii="Times New Roman" w:eastAsia="SimSun" w:hAnsi="Times New Roman" w:cs="Times New Roman"/>
          <w:iCs/>
          <w:sz w:val="24"/>
          <w:szCs w:val="24"/>
          <w:lang w:val="en-GB" w:eastAsia="zh-CN"/>
        </w:rPr>
        <w:t>reduction and the disadvantages in</w:t>
      </w:r>
      <w:r w:rsidR="00431D43" w:rsidRPr="00497A81">
        <w:rPr>
          <w:rFonts w:ascii="Times New Roman" w:eastAsia="SimSun" w:hAnsi="Times New Roman" w:cs="Times New Roman"/>
          <w:iCs/>
          <w:sz w:val="24"/>
          <w:szCs w:val="24"/>
          <w:lang w:val="en-GB" w:eastAsia="zh-CN"/>
        </w:rPr>
        <w:t xml:space="preserve"> </w:t>
      </w:r>
      <w:r w:rsidR="00431D43" w:rsidRPr="003B7D33">
        <w:rPr>
          <w:rFonts w:ascii="Times New Roman" w:eastAsia="SimSun" w:hAnsi="Times New Roman" w:cs="Times New Roman"/>
          <w:iCs/>
          <w:sz w:val="24"/>
          <w:szCs w:val="24"/>
          <w:lang w:val="en-GB" w:eastAsia="zh-CN"/>
        </w:rPr>
        <w:t>agency costs, namely monitoring and screening costs and residual loss</w:t>
      </w:r>
      <w:r w:rsidR="00AC0611" w:rsidRPr="003B7D33">
        <w:rPr>
          <w:rFonts w:ascii="Times New Roman" w:eastAsia="SimSun" w:hAnsi="Times New Roman" w:cs="Times New Roman"/>
          <w:iCs/>
          <w:sz w:val="24"/>
          <w:szCs w:val="24"/>
          <w:lang w:val="en-GB" w:eastAsia="zh-CN"/>
        </w:rPr>
        <w:t>. O</w:t>
      </w:r>
      <w:r w:rsidR="00431D43" w:rsidRPr="003B7D33">
        <w:rPr>
          <w:rFonts w:ascii="Times New Roman" w:eastAsia="SimSun" w:hAnsi="Times New Roman" w:cs="Times New Roman"/>
          <w:iCs/>
          <w:sz w:val="24"/>
          <w:szCs w:val="24"/>
          <w:lang w:val="en-GB" w:eastAsia="zh-CN"/>
        </w:rPr>
        <w:t>therwise</w:t>
      </w:r>
      <w:r w:rsidR="00184DE7" w:rsidRPr="003B7D33">
        <w:rPr>
          <w:rFonts w:ascii="Times New Roman" w:eastAsia="SimSun" w:hAnsi="Times New Roman" w:cs="Times New Roman"/>
          <w:iCs/>
          <w:sz w:val="24"/>
          <w:szCs w:val="24"/>
          <w:lang w:val="en-GB" w:eastAsia="zh-CN"/>
        </w:rPr>
        <w:t>,</w:t>
      </w:r>
      <w:r w:rsidR="00431D43" w:rsidRPr="003B7D33">
        <w:rPr>
          <w:rFonts w:ascii="Times New Roman" w:eastAsia="SimSun" w:hAnsi="Times New Roman" w:cs="Times New Roman"/>
          <w:iCs/>
          <w:sz w:val="24"/>
          <w:szCs w:val="24"/>
          <w:lang w:val="en-GB" w:eastAsia="zh-CN"/>
        </w:rPr>
        <w:t xml:space="preserve"> market transactions</w:t>
      </w:r>
      <w:r w:rsidR="00AC0611" w:rsidRPr="003B7D33">
        <w:rPr>
          <w:rFonts w:ascii="Times New Roman" w:eastAsia="SimSun" w:hAnsi="Times New Roman" w:cs="Times New Roman"/>
          <w:iCs/>
          <w:sz w:val="24"/>
          <w:szCs w:val="24"/>
          <w:lang w:val="en-GB" w:eastAsia="zh-CN"/>
        </w:rPr>
        <w:t xml:space="preserve"> should be preferred</w:t>
      </w:r>
      <w:r w:rsidR="00431D43" w:rsidRPr="003B7D33">
        <w:rPr>
          <w:rFonts w:ascii="Times New Roman" w:eastAsia="SimSun" w:hAnsi="Times New Roman" w:cs="Times New Roman"/>
          <w:iCs/>
          <w:sz w:val="24"/>
          <w:szCs w:val="24"/>
          <w:lang w:val="en-GB" w:eastAsia="zh-CN"/>
        </w:rPr>
        <w:t xml:space="preserve">. </w:t>
      </w:r>
      <w:r w:rsidR="000754FA" w:rsidRPr="003B7D33">
        <w:rPr>
          <w:rFonts w:ascii="Times New Roman" w:eastAsia="SimSun" w:hAnsi="Times New Roman" w:cs="Times New Roman"/>
          <w:iCs/>
          <w:sz w:val="24"/>
          <w:szCs w:val="24"/>
          <w:lang w:val="en-GB" w:eastAsia="zh-CN"/>
        </w:rPr>
        <w:t xml:space="preserve">This institutional comparison is clearly mainstream. </w:t>
      </w:r>
      <w:r w:rsidR="002D1E77" w:rsidRPr="003B7D33">
        <w:rPr>
          <w:rFonts w:ascii="Times New Roman" w:eastAsia="SimSun" w:hAnsi="Times New Roman" w:cs="Times New Roman"/>
          <w:iCs/>
          <w:sz w:val="24"/>
          <w:szCs w:val="24"/>
          <w:lang w:val="en-GB" w:eastAsia="zh-CN"/>
        </w:rPr>
        <w:t>Using the simple motto introduced by Williamson, the firm decides whether to “make or buy” with the aim of minimizing costs</w:t>
      </w:r>
      <w:r w:rsidR="00431D43" w:rsidRPr="003B7D33">
        <w:rPr>
          <w:rFonts w:ascii="Times New Roman" w:eastAsia="SimSun" w:hAnsi="Times New Roman" w:cs="Times New Roman"/>
          <w:iCs/>
          <w:sz w:val="24"/>
          <w:szCs w:val="24"/>
          <w:lang w:val="en-GB" w:eastAsia="zh-CN"/>
        </w:rPr>
        <w:t xml:space="preserve"> </w:t>
      </w:r>
      <w:r w:rsidR="00C47F0E" w:rsidRPr="003B7D33">
        <w:rPr>
          <w:rFonts w:ascii="Times New Roman" w:eastAsia="SimSun" w:hAnsi="Times New Roman" w:cs="Times New Roman"/>
          <w:iCs/>
          <w:sz w:val="24"/>
          <w:szCs w:val="24"/>
          <w:lang w:val="en-GB" w:eastAsia="zh-CN"/>
        </w:rPr>
        <w:t>thereby</w:t>
      </w:r>
      <w:r w:rsidR="00431D43" w:rsidRPr="003B7D33">
        <w:rPr>
          <w:rFonts w:ascii="Times New Roman" w:eastAsia="SimSun" w:hAnsi="Times New Roman" w:cs="Times New Roman"/>
          <w:iCs/>
          <w:sz w:val="24"/>
          <w:szCs w:val="24"/>
          <w:lang w:val="en-GB" w:eastAsia="zh-CN"/>
        </w:rPr>
        <w:t xml:space="preserve"> </w:t>
      </w:r>
      <w:r w:rsidR="00C47F0E" w:rsidRPr="003B7D33">
        <w:rPr>
          <w:rFonts w:ascii="Times New Roman" w:eastAsia="SimSun" w:hAnsi="Times New Roman" w:cs="Times New Roman"/>
          <w:iCs/>
          <w:sz w:val="24"/>
          <w:szCs w:val="24"/>
          <w:lang w:val="en-GB" w:eastAsia="zh-CN"/>
        </w:rPr>
        <w:t xml:space="preserve">increasing </w:t>
      </w:r>
      <w:r w:rsidR="002D1E77" w:rsidRPr="003B7D33">
        <w:rPr>
          <w:rFonts w:ascii="Times New Roman" w:eastAsia="SimSun" w:hAnsi="Times New Roman" w:cs="Times New Roman"/>
          <w:iCs/>
          <w:sz w:val="24"/>
          <w:szCs w:val="24"/>
          <w:lang w:val="en-GB" w:eastAsia="zh-CN"/>
        </w:rPr>
        <w:t>net returns</w:t>
      </w:r>
      <w:r w:rsidR="00962BF6" w:rsidRPr="003B7D33">
        <w:rPr>
          <w:rFonts w:ascii="Times New Roman" w:eastAsia="SimSun" w:hAnsi="Times New Roman" w:cs="Times New Roman"/>
          <w:iCs/>
          <w:sz w:val="24"/>
          <w:szCs w:val="24"/>
          <w:lang w:val="en-GB" w:eastAsia="zh-CN"/>
        </w:rPr>
        <w:t xml:space="preserve"> – </w:t>
      </w:r>
      <w:r w:rsidR="002D1E77" w:rsidRPr="003B7D33">
        <w:rPr>
          <w:rFonts w:ascii="Times New Roman" w:eastAsia="SimSun" w:hAnsi="Times New Roman" w:cs="Times New Roman"/>
          <w:iCs/>
          <w:sz w:val="24"/>
          <w:szCs w:val="24"/>
          <w:lang w:val="en-GB" w:eastAsia="zh-CN"/>
        </w:rPr>
        <w:t>given the same value-output. Adding the premise that the directors are agents of the investors, we can conclude the higher the net returns, the higher the wealth available to investors. Therefore, the directors, acting as agents of the investors, (should) identify the mix of making and buying that maximizes the returns</w:t>
      </w:r>
      <w:r w:rsidR="00962BF6" w:rsidRPr="003B7D33">
        <w:rPr>
          <w:rFonts w:ascii="Times New Roman" w:eastAsia="SimSun" w:hAnsi="Times New Roman" w:cs="Times New Roman"/>
          <w:iCs/>
          <w:sz w:val="24"/>
          <w:szCs w:val="24"/>
          <w:lang w:val="en-GB" w:eastAsia="zh-CN"/>
        </w:rPr>
        <w:t xml:space="preserve"> – </w:t>
      </w:r>
      <w:r w:rsidR="002D1E77" w:rsidRPr="003B7D33">
        <w:rPr>
          <w:rFonts w:ascii="Times New Roman" w:eastAsia="SimSun" w:hAnsi="Times New Roman" w:cs="Times New Roman"/>
          <w:iCs/>
          <w:sz w:val="24"/>
          <w:szCs w:val="24"/>
          <w:lang w:val="en-GB" w:eastAsia="zh-CN"/>
        </w:rPr>
        <w:t>and more generally, the interest</w:t>
      </w:r>
      <w:r w:rsidR="00962BF6" w:rsidRPr="003B7D33">
        <w:rPr>
          <w:rFonts w:ascii="Times New Roman" w:eastAsia="SimSun" w:hAnsi="Times New Roman" w:cs="Times New Roman"/>
          <w:iCs/>
          <w:sz w:val="24"/>
          <w:szCs w:val="24"/>
          <w:lang w:val="en-GB" w:eastAsia="zh-CN"/>
        </w:rPr>
        <w:t xml:space="preserve"> – </w:t>
      </w:r>
      <w:r w:rsidR="002D1E77" w:rsidRPr="003B7D33">
        <w:rPr>
          <w:rFonts w:ascii="Times New Roman" w:eastAsia="SimSun" w:hAnsi="Times New Roman" w:cs="Times New Roman"/>
          <w:iCs/>
          <w:sz w:val="24"/>
          <w:szCs w:val="24"/>
          <w:lang w:val="en-GB" w:eastAsia="zh-CN"/>
        </w:rPr>
        <w:t>of investors.</w:t>
      </w:r>
      <w:r w:rsidR="00431D43" w:rsidRPr="003B7D33">
        <w:rPr>
          <w:rFonts w:ascii="Times New Roman" w:eastAsia="SimSun" w:hAnsi="Times New Roman" w:cs="Times New Roman"/>
          <w:iCs/>
          <w:sz w:val="24"/>
          <w:szCs w:val="24"/>
          <w:lang w:val="en-GB" w:eastAsia="zh-CN"/>
        </w:rPr>
        <w:t xml:space="preserve"> </w:t>
      </w:r>
      <w:r w:rsidR="002D1E77" w:rsidRPr="003B7D33">
        <w:rPr>
          <w:rFonts w:ascii="Times New Roman" w:eastAsia="SimSun" w:hAnsi="Times New Roman" w:cs="Times New Roman"/>
          <w:iCs/>
          <w:sz w:val="24"/>
          <w:szCs w:val="24"/>
          <w:lang w:val="en-GB" w:eastAsia="zh-CN"/>
        </w:rPr>
        <w:t xml:space="preserve">In light of the above, </w:t>
      </w:r>
      <w:r w:rsidR="002D1E77" w:rsidRPr="003B7D33">
        <w:rPr>
          <w:rFonts w:ascii="Times New Roman" w:eastAsia="SimSun" w:hAnsi="Times New Roman" w:cs="Times New Roman"/>
          <w:sz w:val="24"/>
          <w:szCs w:val="24"/>
          <w:lang w:val="en-GB" w:eastAsia="zh-CN"/>
        </w:rPr>
        <w:t>the</w:t>
      </w:r>
      <w:r w:rsidR="002D1E77" w:rsidRPr="003B7D33">
        <w:rPr>
          <w:rFonts w:ascii="Times New Roman" w:eastAsia="SimSun" w:hAnsi="Times New Roman" w:cs="Times New Roman"/>
          <w:iCs/>
          <w:sz w:val="24"/>
          <w:szCs w:val="24"/>
          <w:lang w:val="en-GB" w:eastAsia="zh-CN"/>
        </w:rPr>
        <w:t xml:space="preserve"> principal conception of investors is an implication of the concept of consumer sovereignty. At the same time, the cost-minimization function of the firm is the counterpart of the </w:t>
      </w:r>
      <w:r w:rsidR="000754FA" w:rsidRPr="003B7D33">
        <w:rPr>
          <w:rFonts w:ascii="Times New Roman" w:eastAsia="SimSun" w:hAnsi="Times New Roman" w:cs="Times New Roman"/>
          <w:iCs/>
          <w:sz w:val="24"/>
          <w:szCs w:val="24"/>
          <w:lang w:val="en-GB" w:eastAsia="zh-CN"/>
        </w:rPr>
        <w:t>price</w:t>
      </w:r>
      <w:r w:rsidR="002D1E77" w:rsidRPr="003B7D33">
        <w:rPr>
          <w:rFonts w:ascii="Times New Roman" w:eastAsia="SimSun" w:hAnsi="Times New Roman" w:cs="Times New Roman"/>
          <w:iCs/>
          <w:sz w:val="24"/>
          <w:szCs w:val="24"/>
          <w:lang w:val="en-GB" w:eastAsia="zh-CN"/>
        </w:rPr>
        <w:t>-minim</w:t>
      </w:r>
      <w:r w:rsidR="00431D43" w:rsidRPr="003B7D33">
        <w:rPr>
          <w:rFonts w:ascii="Times New Roman" w:eastAsia="SimSun" w:hAnsi="Times New Roman" w:cs="Times New Roman"/>
          <w:iCs/>
          <w:sz w:val="24"/>
          <w:szCs w:val="24"/>
          <w:lang w:val="en-GB" w:eastAsia="zh-CN"/>
        </w:rPr>
        <w:t>ization function of the market.</w:t>
      </w:r>
      <w:r w:rsidRPr="003B7D33">
        <w:rPr>
          <w:rFonts w:ascii="Times New Roman" w:eastAsia="SimSun" w:hAnsi="Times New Roman" w:cs="Times New Roman"/>
          <w:iCs/>
          <w:sz w:val="24"/>
          <w:szCs w:val="24"/>
          <w:lang w:val="en-GB" w:eastAsia="zh-CN"/>
        </w:rPr>
        <w:t xml:space="preserve"> </w:t>
      </w:r>
      <w:r w:rsidR="006A4EFC" w:rsidRPr="003B7D33">
        <w:rPr>
          <w:rFonts w:ascii="Times New Roman" w:eastAsia="SimSun" w:hAnsi="Times New Roman" w:cs="Times New Roman"/>
          <w:iCs/>
          <w:sz w:val="24"/>
          <w:szCs w:val="24"/>
          <w:lang w:val="en-GB" w:eastAsia="zh-CN"/>
        </w:rPr>
        <w:t>A confirmation of the connection between the role of consumers in markets and investors in firms can be found</w:t>
      </w:r>
      <w:r w:rsidR="006A4EFC">
        <w:rPr>
          <w:rFonts w:ascii="Times New Roman" w:eastAsia="SimSun" w:hAnsi="Times New Roman" w:cs="Times New Roman"/>
          <w:iCs/>
          <w:sz w:val="24"/>
          <w:szCs w:val="24"/>
          <w:lang w:val="en-GB" w:eastAsia="zh-CN"/>
        </w:rPr>
        <w:t xml:space="preserve"> in the diffusion of “exit” and “voice” as concepts of corporate governance. </w:t>
      </w:r>
      <w:r w:rsidR="006A4EFC">
        <w:rPr>
          <w:rFonts w:ascii="Times New Roman" w:eastAsia="Times New Roman" w:hAnsi="Times New Roman" w:cs="Times New Roman"/>
          <w:color w:val="000000"/>
          <w:sz w:val="24"/>
          <w:szCs w:val="24"/>
          <w:shd w:val="clear" w:color="auto" w:fill="FFFFFF"/>
          <w:lang w:val="en-GB" w:eastAsia="de-DE"/>
        </w:rPr>
        <w:t>These expressions were introduced by</w:t>
      </w:r>
      <w:r w:rsidR="00427B06">
        <w:rPr>
          <w:rFonts w:ascii="Times New Roman" w:eastAsia="Times New Roman" w:hAnsi="Times New Roman" w:cs="Times New Roman"/>
          <w:color w:val="000000"/>
          <w:sz w:val="24"/>
          <w:szCs w:val="24"/>
          <w:shd w:val="clear" w:color="auto" w:fill="FFFFFF"/>
          <w:lang w:val="en-GB" w:eastAsia="de-DE"/>
        </w:rPr>
        <w:t xml:space="preserve"> Hirschman</w:t>
      </w:r>
      <w:r w:rsidR="006A4EFC" w:rsidRPr="00497A81">
        <w:rPr>
          <w:rFonts w:ascii="Times New Roman" w:eastAsia="Times New Roman" w:hAnsi="Times New Roman" w:cs="Times New Roman"/>
          <w:color w:val="000000"/>
          <w:sz w:val="24"/>
          <w:szCs w:val="24"/>
          <w:shd w:val="clear" w:color="auto" w:fill="FFFFFF"/>
          <w:lang w:val="en-GB" w:eastAsia="de-DE"/>
        </w:rPr>
        <w:t xml:space="preserve">’s </w:t>
      </w:r>
      <w:r w:rsidR="006A4EFC" w:rsidRPr="00497A81">
        <w:rPr>
          <w:rFonts w:ascii="Times New Roman" w:eastAsia="Times New Roman" w:hAnsi="Times New Roman" w:cs="Times New Roman"/>
          <w:i/>
          <w:color w:val="000000"/>
          <w:sz w:val="24"/>
          <w:szCs w:val="24"/>
          <w:shd w:val="clear" w:color="auto" w:fill="FFFFFF"/>
          <w:lang w:val="en-GB" w:eastAsia="de-DE"/>
        </w:rPr>
        <w:t>Voice, Exit, and Loyalty</w:t>
      </w:r>
      <w:r w:rsidR="006A4EFC">
        <w:rPr>
          <w:rFonts w:ascii="Times New Roman" w:eastAsia="Times New Roman" w:hAnsi="Times New Roman" w:cs="Times New Roman"/>
          <w:i/>
          <w:color w:val="000000"/>
          <w:sz w:val="24"/>
          <w:szCs w:val="24"/>
          <w:shd w:val="clear" w:color="auto" w:fill="FFFFFF"/>
          <w:lang w:val="en-GB" w:eastAsia="de-DE"/>
        </w:rPr>
        <w:t xml:space="preserve"> </w:t>
      </w:r>
      <w:r w:rsidR="006A4EFC">
        <w:rPr>
          <w:rFonts w:ascii="Times New Roman" w:eastAsia="Times New Roman" w:hAnsi="Times New Roman" w:cs="Times New Roman"/>
          <w:color w:val="000000"/>
          <w:sz w:val="24"/>
          <w:szCs w:val="24"/>
          <w:shd w:val="clear" w:color="auto" w:fill="FFFFFF"/>
          <w:lang w:val="en-GB" w:eastAsia="de-DE"/>
        </w:rPr>
        <w:t>with regard to markets</w:t>
      </w:r>
      <w:r w:rsidR="006A4EFC" w:rsidRPr="00497A81">
        <w:rPr>
          <w:rFonts w:ascii="Times New Roman" w:eastAsia="Times New Roman" w:hAnsi="Times New Roman" w:cs="Times New Roman"/>
          <w:i/>
          <w:color w:val="000000"/>
          <w:sz w:val="24"/>
          <w:szCs w:val="24"/>
          <w:shd w:val="clear" w:color="auto" w:fill="FFFFFF"/>
          <w:lang w:val="en-GB" w:eastAsia="de-DE"/>
        </w:rPr>
        <w:t xml:space="preserve">. </w:t>
      </w:r>
      <w:r w:rsidR="006A4EFC" w:rsidRPr="00497A81">
        <w:rPr>
          <w:rFonts w:ascii="Times New Roman" w:eastAsia="Times New Roman" w:hAnsi="Times New Roman" w:cs="Times New Roman"/>
          <w:color w:val="000000"/>
          <w:sz w:val="24"/>
          <w:szCs w:val="24"/>
          <w:shd w:val="clear" w:color="auto" w:fill="FFFFFF"/>
          <w:lang w:val="en-GB" w:eastAsia="de-DE"/>
        </w:rPr>
        <w:t xml:space="preserve">In fact, </w:t>
      </w:r>
      <w:r w:rsidR="006A4EFC" w:rsidRPr="00497A81">
        <w:rPr>
          <w:rFonts w:ascii="Times New Roman" w:hAnsi="Times New Roman" w:cs="Times New Roman"/>
          <w:sz w:val="24"/>
          <w:szCs w:val="24"/>
          <w:lang w:val="en-GB"/>
        </w:rPr>
        <w:t>Hirschman refers with “exit” to the market stimulus given by consumers moving to a different producer</w:t>
      </w:r>
      <w:r w:rsidR="002610A1">
        <w:rPr>
          <w:rFonts w:ascii="Times New Roman" w:hAnsi="Times New Roman" w:cs="Times New Roman"/>
          <w:sz w:val="24"/>
          <w:szCs w:val="24"/>
          <w:lang w:val="en-GB"/>
        </w:rPr>
        <w:t>,</w:t>
      </w:r>
      <w:r w:rsidR="006A4EFC">
        <w:rPr>
          <w:rFonts w:ascii="Times New Roman" w:hAnsi="Times New Roman" w:cs="Times New Roman"/>
          <w:sz w:val="24"/>
          <w:szCs w:val="24"/>
          <w:lang w:val="en-GB"/>
        </w:rPr>
        <w:t xml:space="preserve"> while</w:t>
      </w:r>
      <w:r w:rsidR="006A4EFC" w:rsidRPr="00497A81">
        <w:rPr>
          <w:rFonts w:ascii="Times New Roman" w:hAnsi="Times New Roman" w:cs="Times New Roman"/>
          <w:sz w:val="24"/>
          <w:szCs w:val="24"/>
          <w:lang w:val="en-GB"/>
        </w:rPr>
        <w:t xml:space="preserve"> “</w:t>
      </w:r>
      <w:r w:rsidR="006A4EFC">
        <w:rPr>
          <w:rFonts w:ascii="Times New Roman" w:hAnsi="Times New Roman" w:cs="Times New Roman"/>
          <w:sz w:val="24"/>
          <w:szCs w:val="24"/>
          <w:lang w:val="en-GB"/>
        </w:rPr>
        <w:t>v</w:t>
      </w:r>
      <w:r w:rsidR="006A4EFC" w:rsidRPr="00497A81">
        <w:rPr>
          <w:rFonts w:ascii="Times New Roman" w:hAnsi="Times New Roman" w:cs="Times New Roman"/>
          <w:sz w:val="24"/>
          <w:szCs w:val="24"/>
          <w:lang w:val="en-GB"/>
        </w:rPr>
        <w:t>oice” consists in consumers expressing dissatisfaction “directly to management or to some authority to which management is subordinate or through general protest”.</w:t>
      </w:r>
      <w:r w:rsidR="006A4EFC" w:rsidRPr="00497A81">
        <w:rPr>
          <w:rStyle w:val="Rimandonotaapidipagina"/>
          <w:rFonts w:ascii="Times New Roman" w:hAnsi="Times New Roman" w:cs="Times New Roman"/>
          <w:sz w:val="24"/>
          <w:szCs w:val="24"/>
          <w:lang w:val="en-GB"/>
        </w:rPr>
        <w:footnoteReference w:id="39"/>
      </w:r>
      <w:r w:rsidR="00427B06">
        <w:rPr>
          <w:rFonts w:ascii="Times New Roman" w:hAnsi="Times New Roman" w:cs="Times New Roman"/>
          <w:sz w:val="24"/>
          <w:szCs w:val="24"/>
          <w:lang w:val="en-GB"/>
        </w:rPr>
        <w:t xml:space="preserve"> Moreover, Hirschman</w:t>
      </w:r>
      <w:r w:rsidR="006A4EFC" w:rsidRPr="00497A81">
        <w:rPr>
          <w:rFonts w:ascii="Times New Roman" w:hAnsi="Times New Roman" w:cs="Times New Roman"/>
          <w:sz w:val="24"/>
          <w:szCs w:val="24"/>
          <w:lang w:val="en-GB"/>
        </w:rPr>
        <w:t xml:space="preserve"> relates market governance </w:t>
      </w:r>
      <w:r w:rsidR="006A4EFC">
        <w:rPr>
          <w:rFonts w:ascii="Times New Roman" w:hAnsi="Times New Roman" w:cs="Times New Roman"/>
          <w:sz w:val="24"/>
          <w:szCs w:val="24"/>
          <w:lang w:val="en-GB"/>
        </w:rPr>
        <w:t xml:space="preserve">directly </w:t>
      </w:r>
      <w:r w:rsidR="006A4EFC" w:rsidRPr="00497A81">
        <w:rPr>
          <w:rFonts w:ascii="Times New Roman" w:hAnsi="Times New Roman" w:cs="Times New Roman"/>
          <w:sz w:val="24"/>
          <w:szCs w:val="24"/>
          <w:lang w:val="en-GB"/>
        </w:rPr>
        <w:t>to consumer sovereignty when he argues that believing in “competition-exit … to solve most of the “sovereign” consumer’s problems” is an overstatement.</w:t>
      </w:r>
      <w:r w:rsidR="006A4EFC" w:rsidRPr="00497A81">
        <w:rPr>
          <w:rStyle w:val="Rimandonotaapidipagina"/>
          <w:rFonts w:ascii="Times New Roman" w:hAnsi="Times New Roman" w:cs="Times New Roman"/>
          <w:sz w:val="24"/>
          <w:szCs w:val="24"/>
          <w:lang w:val="en-GB"/>
        </w:rPr>
        <w:footnoteReference w:id="40"/>
      </w:r>
      <w:r w:rsidR="006A4EFC">
        <w:rPr>
          <w:rFonts w:ascii="Times New Roman" w:hAnsi="Times New Roman" w:cs="Times New Roman"/>
          <w:sz w:val="24"/>
          <w:szCs w:val="24"/>
          <w:lang w:val="en-GB"/>
        </w:rPr>
        <w:t xml:space="preserve"> The idea that this sovereignty/voice-exit conceptual apparatus has moved smoothly from the market literature to the corporation literature </w:t>
      </w:r>
      <w:r w:rsidR="008F1AB5">
        <w:rPr>
          <w:rFonts w:ascii="Times New Roman" w:hAnsi="Times New Roman" w:cs="Times New Roman"/>
          <w:sz w:val="24"/>
          <w:szCs w:val="24"/>
          <w:lang w:val="en-GB"/>
        </w:rPr>
        <w:t>is inexplicable</w:t>
      </w:r>
      <w:r w:rsidR="006A4EFC">
        <w:rPr>
          <w:rFonts w:ascii="Times New Roman" w:hAnsi="Times New Roman" w:cs="Times New Roman"/>
          <w:sz w:val="24"/>
          <w:szCs w:val="24"/>
          <w:lang w:val="en-GB"/>
        </w:rPr>
        <w:t xml:space="preserve"> unless the role of consumers in market is homologous to the role of investors in firms.</w:t>
      </w:r>
      <w:r w:rsidR="002F09AD">
        <w:rPr>
          <w:rFonts w:ascii="Times New Roman" w:hAnsi="Times New Roman" w:cs="Times New Roman"/>
          <w:sz w:val="24"/>
          <w:szCs w:val="24"/>
          <w:lang w:val="en-GB"/>
        </w:rPr>
        <w:t xml:space="preserve"> At this point it is important to remark the difference between this approach and the idea that market distribution does not matter because ‘we are all consumers’(:</w:t>
      </w:r>
      <w:r w:rsidR="00427B06">
        <w:rPr>
          <w:rFonts w:ascii="Times New Roman" w:hAnsi="Times New Roman" w:cs="Times New Roman"/>
          <w:sz w:val="24"/>
          <w:szCs w:val="24"/>
          <w:lang w:val="en-GB"/>
        </w:rPr>
        <w:t xml:space="preserve"> </w:t>
      </w:r>
      <w:r w:rsidR="002F09AD">
        <w:rPr>
          <w:rFonts w:ascii="Times New Roman" w:hAnsi="Times New Roman" w:cs="Times New Roman"/>
          <w:sz w:val="24"/>
          <w:szCs w:val="24"/>
          <w:lang w:val="en-GB"/>
        </w:rPr>
        <w:t>entrepreneurs on one market are consumers on another, so ultimately we are all consumers – the ‘Chicago trap’</w:t>
      </w:r>
      <w:r w:rsidR="002F09AD">
        <w:rPr>
          <w:rStyle w:val="Rimandonotaapidipagina"/>
          <w:rFonts w:ascii="Times New Roman" w:hAnsi="Times New Roman" w:cs="Times New Roman"/>
          <w:sz w:val="24"/>
          <w:szCs w:val="24"/>
          <w:lang w:val="en-GB"/>
        </w:rPr>
        <w:footnoteReference w:id="41"/>
      </w:r>
      <w:r w:rsidR="002F09AD">
        <w:rPr>
          <w:rFonts w:ascii="Times New Roman" w:hAnsi="Times New Roman" w:cs="Times New Roman"/>
          <w:sz w:val="24"/>
          <w:szCs w:val="24"/>
          <w:lang w:val="en-GB"/>
        </w:rPr>
        <w:t>) or ‘entrepreneurs are people too’(: there is no normative and, in particular, welfaristic reason to prefer consumers to entrepreneurs)</w:t>
      </w:r>
      <w:r w:rsidR="002F09AD">
        <w:rPr>
          <w:rStyle w:val="Rimandonotaapidipagina"/>
          <w:rFonts w:ascii="Times New Roman" w:hAnsi="Times New Roman" w:cs="Times New Roman"/>
          <w:sz w:val="24"/>
          <w:szCs w:val="24"/>
          <w:lang w:val="en-GB"/>
        </w:rPr>
        <w:footnoteReference w:id="42"/>
      </w:r>
      <w:r w:rsidR="002F09AD">
        <w:rPr>
          <w:rFonts w:ascii="Times New Roman" w:hAnsi="Times New Roman" w:cs="Times New Roman"/>
          <w:sz w:val="24"/>
          <w:szCs w:val="24"/>
          <w:lang w:val="en-GB"/>
        </w:rPr>
        <w:t xml:space="preserve">. We do not follow these arguments in </w:t>
      </w:r>
      <w:r w:rsidR="005A7108">
        <w:rPr>
          <w:rFonts w:ascii="Times New Roman" w:hAnsi="Times New Roman" w:cs="Times New Roman"/>
          <w:sz w:val="24"/>
          <w:szCs w:val="24"/>
          <w:lang w:val="en-GB"/>
        </w:rPr>
        <w:t xml:space="preserve">holding </w:t>
      </w:r>
      <w:r w:rsidR="002F09AD">
        <w:rPr>
          <w:rFonts w:ascii="Times New Roman" w:hAnsi="Times New Roman" w:cs="Times New Roman"/>
          <w:sz w:val="24"/>
          <w:szCs w:val="24"/>
          <w:lang w:val="en-GB"/>
        </w:rPr>
        <w:t xml:space="preserve">that the role one plays on a market (consumer or entrepreneur) is not important to express a normative preference for a </w:t>
      </w:r>
      <w:r w:rsidR="00427B06">
        <w:rPr>
          <w:rFonts w:ascii="Times New Roman" w:hAnsi="Times New Roman" w:cs="Times New Roman"/>
          <w:sz w:val="24"/>
          <w:szCs w:val="24"/>
          <w:lang w:val="en-GB"/>
        </w:rPr>
        <w:t>market allocation over another</w:t>
      </w:r>
      <w:r w:rsidR="002F09AD">
        <w:rPr>
          <w:rFonts w:ascii="Times New Roman" w:hAnsi="Times New Roman" w:cs="Times New Roman"/>
          <w:sz w:val="24"/>
          <w:szCs w:val="24"/>
          <w:lang w:val="en-GB"/>
        </w:rPr>
        <w:t>. To the contrary, we draw the attention to the fact that in corporate governance this normative hierarchy</w:t>
      </w:r>
      <w:r w:rsidR="00427B06">
        <w:rPr>
          <w:rFonts w:ascii="Times New Roman" w:hAnsi="Times New Roman" w:cs="Times New Roman"/>
          <w:sz w:val="24"/>
          <w:szCs w:val="24"/>
          <w:lang w:val="en-GB"/>
        </w:rPr>
        <w:t xml:space="preserve"> between roles</w:t>
      </w:r>
      <w:r w:rsidR="002F09AD">
        <w:rPr>
          <w:rFonts w:ascii="Times New Roman" w:hAnsi="Times New Roman" w:cs="Times New Roman"/>
          <w:sz w:val="24"/>
          <w:szCs w:val="24"/>
          <w:lang w:val="en-GB"/>
        </w:rPr>
        <w:t xml:space="preserve"> has been an undisputed feature of mainstream thought for more than 80 years. And there are several connections between </w:t>
      </w:r>
      <w:r w:rsidR="005A7108">
        <w:rPr>
          <w:rFonts w:ascii="Times New Roman" w:hAnsi="Times New Roman" w:cs="Times New Roman"/>
          <w:sz w:val="24"/>
          <w:szCs w:val="24"/>
          <w:lang w:val="en-GB"/>
        </w:rPr>
        <w:t xml:space="preserve">consumers and investors, markets and firms, as well as </w:t>
      </w:r>
      <w:r w:rsidR="002F09AD">
        <w:rPr>
          <w:rFonts w:ascii="Times New Roman" w:hAnsi="Times New Roman" w:cs="Times New Roman"/>
          <w:sz w:val="24"/>
          <w:szCs w:val="24"/>
          <w:lang w:val="en-GB"/>
        </w:rPr>
        <w:t xml:space="preserve">the relation of consumers </w:t>
      </w:r>
      <w:r w:rsidR="005A7108">
        <w:rPr>
          <w:rFonts w:ascii="Times New Roman" w:hAnsi="Times New Roman" w:cs="Times New Roman"/>
          <w:sz w:val="24"/>
          <w:szCs w:val="24"/>
          <w:lang w:val="en-GB"/>
        </w:rPr>
        <w:t>with</w:t>
      </w:r>
      <w:r w:rsidR="002F09AD">
        <w:rPr>
          <w:rFonts w:ascii="Times New Roman" w:hAnsi="Times New Roman" w:cs="Times New Roman"/>
          <w:sz w:val="24"/>
          <w:szCs w:val="24"/>
          <w:lang w:val="en-GB"/>
        </w:rPr>
        <w:t xml:space="preserve"> markets and investors </w:t>
      </w:r>
      <w:r w:rsidR="005A7108">
        <w:rPr>
          <w:rFonts w:ascii="Times New Roman" w:hAnsi="Times New Roman" w:cs="Times New Roman"/>
          <w:sz w:val="24"/>
          <w:szCs w:val="24"/>
          <w:lang w:val="en-GB"/>
        </w:rPr>
        <w:t>with</w:t>
      </w:r>
      <w:r w:rsidR="002F09AD">
        <w:rPr>
          <w:rFonts w:ascii="Times New Roman" w:hAnsi="Times New Roman" w:cs="Times New Roman"/>
          <w:sz w:val="24"/>
          <w:szCs w:val="24"/>
          <w:lang w:val="en-GB"/>
        </w:rPr>
        <w:t xml:space="preserve"> firms. We further observe that removing overall value from the microeconomic market rationale in favour of a normative preference for the consumer would solve this </w:t>
      </w:r>
      <w:r w:rsidR="005A7108">
        <w:rPr>
          <w:rFonts w:ascii="Times New Roman" w:hAnsi="Times New Roman" w:cs="Times New Roman"/>
          <w:sz w:val="24"/>
          <w:szCs w:val="24"/>
          <w:lang w:val="en-GB"/>
        </w:rPr>
        <w:t>incoherence.</w:t>
      </w:r>
    </w:p>
    <w:p w14:paraId="33E55C2B" w14:textId="77777777" w:rsidR="006A4EFC" w:rsidRDefault="006A4EFC" w:rsidP="00431D43">
      <w:pPr>
        <w:spacing w:after="0" w:line="240" w:lineRule="auto"/>
        <w:jc w:val="both"/>
        <w:rPr>
          <w:rFonts w:ascii="Times New Roman" w:eastAsia="SimSun" w:hAnsi="Times New Roman" w:cs="Times New Roman"/>
          <w:iCs/>
          <w:sz w:val="24"/>
          <w:szCs w:val="24"/>
          <w:lang w:val="en-GB" w:eastAsia="zh-CN"/>
        </w:rPr>
      </w:pPr>
    </w:p>
    <w:p w14:paraId="33922E6E" w14:textId="75DFE4B8" w:rsidR="005873F2" w:rsidRDefault="000350BB" w:rsidP="000350BB">
      <w:pPr>
        <w:spacing w:after="120" w:line="240" w:lineRule="auto"/>
        <w:jc w:val="both"/>
        <w:rPr>
          <w:rFonts w:ascii="Times New Roman" w:hAnsi="Times New Roman" w:cs="Times New Roman"/>
          <w:sz w:val="24"/>
          <w:szCs w:val="24"/>
          <w:lang w:val="en-GB"/>
        </w:rPr>
      </w:pPr>
      <w:r w:rsidRPr="00497A81">
        <w:rPr>
          <w:rFonts w:ascii="Times New Roman" w:eastAsia="Times New Roman" w:hAnsi="Times New Roman" w:cs="Times New Roman"/>
          <w:color w:val="000000"/>
          <w:sz w:val="24"/>
          <w:szCs w:val="24"/>
          <w:shd w:val="clear" w:color="auto" w:fill="FFFFFF"/>
          <w:lang w:val="en-GB" w:eastAsia="de-DE"/>
        </w:rPr>
        <w:t xml:space="preserve">c) </w:t>
      </w:r>
      <w:r w:rsidR="00431D43" w:rsidRPr="00497A81">
        <w:rPr>
          <w:rFonts w:ascii="Times New Roman" w:eastAsia="Times New Roman" w:hAnsi="Times New Roman" w:cs="Times New Roman"/>
          <w:color w:val="000000"/>
          <w:sz w:val="24"/>
          <w:szCs w:val="24"/>
          <w:shd w:val="clear" w:color="auto" w:fill="FFFFFF"/>
          <w:lang w:val="en-GB" w:eastAsia="de-DE"/>
        </w:rPr>
        <w:t xml:space="preserve">Principal agent theory cannot only be the basis of this ‚logical‘ and ‚formal‘ parallelism between consumers/clients and investors/shareholders. The </w:t>
      </w:r>
      <w:r w:rsidR="00431D43" w:rsidRPr="00497A81">
        <w:rPr>
          <w:rFonts w:ascii="Times New Roman" w:eastAsia="Times New Roman" w:hAnsi="Times New Roman" w:cs="Times New Roman"/>
          <w:i/>
          <w:color w:val="000000"/>
          <w:sz w:val="24"/>
          <w:szCs w:val="24"/>
          <w:shd w:val="clear" w:color="auto" w:fill="FFFFFF"/>
          <w:lang w:val="en-GB" w:eastAsia="de-DE"/>
        </w:rPr>
        <w:t>main substantive reasons</w:t>
      </w:r>
      <w:r w:rsidR="00431D43" w:rsidRPr="00497A81">
        <w:rPr>
          <w:rFonts w:ascii="Times New Roman" w:eastAsia="Times New Roman" w:hAnsi="Times New Roman" w:cs="Times New Roman"/>
          <w:color w:val="000000"/>
          <w:sz w:val="24"/>
          <w:szCs w:val="24"/>
          <w:shd w:val="clear" w:color="auto" w:fill="FFFFFF"/>
          <w:lang w:val="en-GB" w:eastAsia="de-DE"/>
        </w:rPr>
        <w:t xml:space="preserve"> given for postulating a hierarchy of interests </w:t>
      </w:r>
      <w:r w:rsidR="00E7347F">
        <w:rPr>
          <w:rFonts w:ascii="Times New Roman" w:eastAsia="Times New Roman" w:hAnsi="Times New Roman" w:cs="Times New Roman"/>
          <w:color w:val="000000"/>
          <w:sz w:val="24"/>
          <w:szCs w:val="24"/>
          <w:shd w:val="clear" w:color="auto" w:fill="FFFFFF"/>
          <w:lang w:val="en-GB" w:eastAsia="de-DE"/>
        </w:rPr>
        <w:t>enshrined in</w:t>
      </w:r>
      <w:r w:rsidR="00431D43" w:rsidRPr="00497A81">
        <w:rPr>
          <w:rFonts w:ascii="Times New Roman" w:eastAsia="Times New Roman" w:hAnsi="Times New Roman" w:cs="Times New Roman"/>
          <w:color w:val="000000"/>
          <w:sz w:val="24"/>
          <w:szCs w:val="24"/>
          <w:shd w:val="clear" w:color="auto" w:fill="FFFFFF"/>
          <w:lang w:val="en-GB" w:eastAsia="de-DE"/>
        </w:rPr>
        <w:t xml:space="preserve"> a principal agent model are worth consideration </w:t>
      </w:r>
      <w:r w:rsidR="00431D43" w:rsidRPr="00497A81">
        <w:rPr>
          <w:rFonts w:ascii="Times New Roman" w:eastAsia="Times New Roman" w:hAnsi="Times New Roman" w:cs="Times New Roman"/>
          <w:color w:val="000000"/>
          <w:sz w:val="24"/>
          <w:szCs w:val="24"/>
          <w:shd w:val="clear" w:color="auto" w:fill="FFFFFF"/>
          <w:lang w:val="en-GB" w:eastAsia="de-DE"/>
        </w:rPr>
        <w:lastRenderedPageBreak/>
        <w:t>as well: They have been developed for equity holders</w:t>
      </w:r>
      <w:r w:rsidR="005873F2">
        <w:rPr>
          <w:rFonts w:ascii="Times New Roman" w:eastAsia="Times New Roman" w:hAnsi="Times New Roman" w:cs="Times New Roman"/>
          <w:color w:val="000000"/>
          <w:sz w:val="24"/>
          <w:szCs w:val="24"/>
          <w:shd w:val="clear" w:color="auto" w:fill="FFFFFF"/>
          <w:lang w:val="en-GB" w:eastAsia="de-DE"/>
        </w:rPr>
        <w:t>,</w:t>
      </w:r>
      <w:r w:rsidR="00431D43"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43"/>
      </w:r>
      <w:r w:rsidR="00431D43" w:rsidRPr="00497A81">
        <w:rPr>
          <w:rFonts w:ascii="Times New Roman" w:eastAsia="Times New Roman" w:hAnsi="Times New Roman" w:cs="Times New Roman"/>
          <w:color w:val="000000"/>
          <w:sz w:val="24"/>
          <w:szCs w:val="24"/>
          <w:shd w:val="clear" w:color="auto" w:fill="FFFFFF"/>
          <w:lang w:val="en-GB" w:eastAsia="de-DE"/>
        </w:rPr>
        <w:t xml:space="preserve"> but they apply in a parallel way also to consumers/clients. </w:t>
      </w:r>
      <w:r w:rsidR="00C97029" w:rsidRPr="00497A81">
        <w:rPr>
          <w:rFonts w:ascii="Times New Roman" w:eastAsia="Times New Roman" w:hAnsi="Times New Roman" w:cs="Times New Roman"/>
          <w:color w:val="000000"/>
          <w:sz w:val="24"/>
          <w:szCs w:val="24"/>
          <w:shd w:val="clear" w:color="auto" w:fill="FFFFFF"/>
          <w:lang w:val="en-GB" w:eastAsia="de-DE"/>
        </w:rPr>
        <w:t xml:space="preserve">The starting point of </w:t>
      </w:r>
      <w:r w:rsidR="00326F51">
        <w:rPr>
          <w:rFonts w:ascii="Times New Roman" w:eastAsia="Times New Roman" w:hAnsi="Times New Roman" w:cs="Times New Roman"/>
          <w:color w:val="000000"/>
          <w:sz w:val="24"/>
          <w:szCs w:val="24"/>
          <w:shd w:val="clear" w:color="auto" w:fill="FFFFFF"/>
          <w:lang w:val="en-GB" w:eastAsia="de-DE"/>
        </w:rPr>
        <w:t>the</w:t>
      </w:r>
      <w:r w:rsidR="00326F51" w:rsidRPr="00497A81">
        <w:rPr>
          <w:rFonts w:ascii="Times New Roman" w:eastAsia="Times New Roman" w:hAnsi="Times New Roman" w:cs="Times New Roman"/>
          <w:color w:val="000000"/>
          <w:sz w:val="24"/>
          <w:szCs w:val="24"/>
          <w:shd w:val="clear" w:color="auto" w:fill="FFFFFF"/>
          <w:lang w:val="en-GB" w:eastAsia="de-DE"/>
        </w:rPr>
        <w:t xml:space="preserve"> </w:t>
      </w:r>
      <w:r w:rsidR="00C97029" w:rsidRPr="00497A81">
        <w:rPr>
          <w:rFonts w:ascii="Times New Roman" w:eastAsia="Times New Roman" w:hAnsi="Times New Roman" w:cs="Times New Roman"/>
          <w:color w:val="000000"/>
          <w:sz w:val="24"/>
          <w:szCs w:val="24"/>
          <w:shd w:val="clear" w:color="auto" w:fill="FFFFFF"/>
          <w:lang w:val="en-GB" w:eastAsia="de-DE"/>
        </w:rPr>
        <w:t xml:space="preserve">argument is </w:t>
      </w:r>
      <w:r w:rsidR="00326F51">
        <w:rPr>
          <w:rFonts w:ascii="Times New Roman" w:eastAsia="Times New Roman" w:hAnsi="Times New Roman" w:cs="Times New Roman"/>
          <w:color w:val="000000"/>
          <w:sz w:val="24"/>
          <w:szCs w:val="24"/>
          <w:shd w:val="clear" w:color="auto" w:fill="FFFFFF"/>
          <w:lang w:val="en-GB" w:eastAsia="de-DE"/>
        </w:rPr>
        <w:t>the relation between the normal concept of property and the choice of investing in a company. Investing in a company implies a delegation of powers over one’s own resources.</w:t>
      </w:r>
      <w:r w:rsidR="005873F2">
        <w:rPr>
          <w:rFonts w:ascii="Times New Roman" w:eastAsia="Times New Roman" w:hAnsi="Times New Roman" w:cs="Times New Roman"/>
          <w:color w:val="000000"/>
          <w:sz w:val="24"/>
          <w:szCs w:val="24"/>
          <w:shd w:val="clear" w:color="auto" w:fill="FFFFFF"/>
          <w:lang w:val="en-GB" w:eastAsia="de-DE"/>
        </w:rPr>
        <w:t xml:space="preserve"> Basically, you hire someone to manage your resources.</w:t>
      </w:r>
      <w:r w:rsidR="00326F51">
        <w:rPr>
          <w:rFonts w:ascii="Times New Roman" w:eastAsia="Times New Roman" w:hAnsi="Times New Roman" w:cs="Times New Roman"/>
          <w:color w:val="000000"/>
          <w:sz w:val="24"/>
          <w:szCs w:val="24"/>
          <w:shd w:val="clear" w:color="auto" w:fill="FFFFFF"/>
          <w:lang w:val="en-GB" w:eastAsia="de-DE"/>
        </w:rPr>
        <w:t xml:space="preserve"> The normative idea is simply that the property over the invested resources implies that</w:t>
      </w:r>
      <w:r w:rsidR="005873F2">
        <w:rPr>
          <w:rFonts w:ascii="Times New Roman" w:eastAsia="Times New Roman" w:hAnsi="Times New Roman" w:cs="Times New Roman"/>
          <w:color w:val="000000"/>
          <w:sz w:val="24"/>
          <w:szCs w:val="24"/>
          <w:shd w:val="clear" w:color="auto" w:fill="FFFFFF"/>
          <w:lang w:val="en-GB" w:eastAsia="de-DE"/>
        </w:rPr>
        <w:t>, before the investment,</w:t>
      </w:r>
      <w:r w:rsidR="00326F51">
        <w:rPr>
          <w:rFonts w:ascii="Times New Roman" w:eastAsia="Times New Roman" w:hAnsi="Times New Roman" w:cs="Times New Roman"/>
          <w:color w:val="000000"/>
          <w:sz w:val="24"/>
          <w:szCs w:val="24"/>
          <w:shd w:val="clear" w:color="auto" w:fill="FFFFFF"/>
          <w:lang w:val="en-GB" w:eastAsia="de-DE"/>
        </w:rPr>
        <w:t xml:space="preserve"> those resources </w:t>
      </w:r>
      <w:r w:rsidR="005873F2">
        <w:rPr>
          <w:rFonts w:ascii="Times New Roman" w:eastAsia="Times New Roman" w:hAnsi="Times New Roman" w:cs="Times New Roman"/>
          <w:color w:val="000000"/>
          <w:sz w:val="24"/>
          <w:szCs w:val="24"/>
          <w:shd w:val="clear" w:color="auto" w:fill="FFFFFF"/>
          <w:lang w:val="en-GB" w:eastAsia="de-DE"/>
        </w:rPr>
        <w:t>had to</w:t>
      </w:r>
      <w:r w:rsidR="00326F51">
        <w:rPr>
          <w:rFonts w:ascii="Times New Roman" w:eastAsia="Times New Roman" w:hAnsi="Times New Roman" w:cs="Times New Roman"/>
          <w:color w:val="000000"/>
          <w:sz w:val="24"/>
          <w:szCs w:val="24"/>
          <w:shd w:val="clear" w:color="auto" w:fill="FFFFFF"/>
          <w:lang w:val="en-GB" w:eastAsia="de-DE"/>
        </w:rPr>
        <w:t xml:space="preserve"> be used to maximize the interest of the owner (within the limits imposed by the law</w:t>
      </w:r>
      <w:r w:rsidR="00326F51">
        <w:rPr>
          <w:rStyle w:val="Rimandonotaapidipagina"/>
          <w:rFonts w:ascii="Times New Roman" w:eastAsia="Times New Roman" w:hAnsi="Times New Roman" w:cs="Times New Roman"/>
          <w:color w:val="000000"/>
          <w:sz w:val="24"/>
          <w:szCs w:val="24"/>
          <w:shd w:val="clear" w:color="auto" w:fill="FFFFFF"/>
          <w:lang w:val="en-GB" w:eastAsia="de-DE"/>
        </w:rPr>
        <w:footnoteReference w:id="44"/>
      </w:r>
      <w:r w:rsidR="00326F51">
        <w:rPr>
          <w:rFonts w:ascii="Times New Roman" w:eastAsia="Times New Roman" w:hAnsi="Times New Roman" w:cs="Times New Roman"/>
          <w:color w:val="000000"/>
          <w:sz w:val="24"/>
          <w:szCs w:val="24"/>
          <w:shd w:val="clear" w:color="auto" w:fill="FFFFFF"/>
          <w:lang w:val="en-GB" w:eastAsia="de-DE"/>
        </w:rPr>
        <w:t>)</w:t>
      </w:r>
      <w:r w:rsidR="007D0830">
        <w:rPr>
          <w:rFonts w:ascii="Times New Roman" w:eastAsia="Times New Roman" w:hAnsi="Times New Roman" w:cs="Times New Roman"/>
          <w:color w:val="000000"/>
          <w:sz w:val="24"/>
          <w:szCs w:val="24"/>
          <w:shd w:val="clear" w:color="auto" w:fill="FFFFFF"/>
          <w:lang w:val="en-GB" w:eastAsia="de-DE"/>
        </w:rPr>
        <w:t>. Thus, the delegation of powers over these resources does not change the function assigned to those resources</w:t>
      </w:r>
      <w:r w:rsidR="005873F2">
        <w:rPr>
          <w:rFonts w:ascii="Times New Roman" w:eastAsia="Times New Roman" w:hAnsi="Times New Roman" w:cs="Times New Roman"/>
          <w:color w:val="000000"/>
          <w:sz w:val="24"/>
          <w:szCs w:val="24"/>
          <w:shd w:val="clear" w:color="auto" w:fill="FFFFFF"/>
          <w:lang w:val="en-GB" w:eastAsia="de-DE"/>
        </w:rPr>
        <w:t xml:space="preserve"> in society</w:t>
      </w:r>
      <w:r w:rsidR="007D0830">
        <w:rPr>
          <w:rFonts w:ascii="Times New Roman" w:eastAsia="Times New Roman" w:hAnsi="Times New Roman" w:cs="Times New Roman"/>
          <w:color w:val="000000"/>
          <w:sz w:val="24"/>
          <w:szCs w:val="24"/>
          <w:shd w:val="clear" w:color="auto" w:fill="FFFFFF"/>
          <w:lang w:val="en-GB" w:eastAsia="de-DE"/>
        </w:rPr>
        <w:t xml:space="preserve">: maximizing the interest of the </w:t>
      </w:r>
      <w:r w:rsidR="005873F2">
        <w:rPr>
          <w:rFonts w:ascii="Times New Roman" w:eastAsia="Times New Roman" w:hAnsi="Times New Roman" w:cs="Times New Roman"/>
          <w:color w:val="000000"/>
          <w:sz w:val="24"/>
          <w:szCs w:val="24"/>
          <w:shd w:val="clear" w:color="auto" w:fill="FFFFFF"/>
          <w:lang w:val="en-GB" w:eastAsia="de-DE"/>
        </w:rPr>
        <w:t>(</w:t>
      </w:r>
      <w:r w:rsidR="007D0830">
        <w:rPr>
          <w:rFonts w:ascii="Times New Roman" w:eastAsia="Times New Roman" w:hAnsi="Times New Roman" w:cs="Times New Roman"/>
          <w:color w:val="000000"/>
          <w:sz w:val="24"/>
          <w:szCs w:val="24"/>
          <w:shd w:val="clear" w:color="auto" w:fill="FFFFFF"/>
          <w:lang w:val="en-GB" w:eastAsia="de-DE"/>
        </w:rPr>
        <w:t>delegating</w:t>
      </w:r>
      <w:r w:rsidR="005873F2">
        <w:rPr>
          <w:rFonts w:ascii="Times New Roman" w:eastAsia="Times New Roman" w:hAnsi="Times New Roman" w:cs="Times New Roman"/>
          <w:color w:val="000000"/>
          <w:sz w:val="24"/>
          <w:szCs w:val="24"/>
          <w:shd w:val="clear" w:color="auto" w:fill="FFFFFF"/>
          <w:lang w:val="en-GB" w:eastAsia="de-DE"/>
        </w:rPr>
        <w:t>)</w:t>
      </w:r>
      <w:r w:rsidR="007D0830">
        <w:rPr>
          <w:rFonts w:ascii="Times New Roman" w:eastAsia="Times New Roman" w:hAnsi="Times New Roman" w:cs="Times New Roman"/>
          <w:color w:val="000000"/>
          <w:sz w:val="24"/>
          <w:szCs w:val="24"/>
          <w:shd w:val="clear" w:color="auto" w:fill="FFFFFF"/>
          <w:lang w:val="en-GB" w:eastAsia="de-DE"/>
        </w:rPr>
        <w:t xml:space="preserve"> owner. Jensen/Meckling build on this normative idea to describe the functioning of the firm. For current purposes, they answer to the question “what are the corporate governance means for minimizing agency costs?” </w:t>
      </w:r>
      <w:r w:rsidR="00431D43" w:rsidRPr="00497A81">
        <w:rPr>
          <w:rFonts w:ascii="Times New Roman" w:eastAsia="Times New Roman" w:hAnsi="Times New Roman" w:cs="Times New Roman"/>
          <w:color w:val="000000"/>
          <w:sz w:val="24"/>
          <w:szCs w:val="24"/>
          <w:shd w:val="clear" w:color="auto" w:fill="FFFFFF"/>
          <w:lang w:val="en-GB" w:eastAsia="de-DE"/>
        </w:rPr>
        <w:t xml:space="preserve"> The famous answer and formula is: the </w:t>
      </w:r>
      <w:r w:rsidR="00F97A09" w:rsidRPr="00497A81">
        <w:rPr>
          <w:rFonts w:ascii="Times New Roman" w:eastAsia="Times New Roman" w:hAnsi="Times New Roman" w:cs="Times New Roman"/>
          <w:color w:val="000000"/>
          <w:sz w:val="24"/>
          <w:szCs w:val="24"/>
          <w:shd w:val="clear" w:color="auto" w:fill="FFFFFF"/>
          <w:lang w:val="en-GB" w:eastAsia="de-DE"/>
        </w:rPr>
        <w:t xml:space="preserve">non-managing </w:t>
      </w:r>
      <w:r w:rsidR="00431D43" w:rsidRPr="00497A81">
        <w:rPr>
          <w:rFonts w:ascii="Times New Roman" w:eastAsia="Times New Roman" w:hAnsi="Times New Roman" w:cs="Times New Roman"/>
          <w:color w:val="000000"/>
          <w:sz w:val="24"/>
          <w:szCs w:val="24"/>
          <w:shd w:val="clear" w:color="auto" w:fill="FFFFFF"/>
          <w:lang w:val="en-GB" w:eastAsia="de-DE"/>
        </w:rPr>
        <w:t xml:space="preserve">investors need to monitor, the managers can give warranties (‚bonding expenses‘), </w:t>
      </w:r>
      <w:r w:rsidR="00F97A09" w:rsidRPr="00497A81">
        <w:rPr>
          <w:rFonts w:ascii="Times New Roman" w:eastAsia="Times New Roman" w:hAnsi="Times New Roman" w:cs="Times New Roman"/>
          <w:color w:val="000000"/>
          <w:sz w:val="24"/>
          <w:szCs w:val="24"/>
          <w:shd w:val="clear" w:color="auto" w:fill="FFFFFF"/>
          <w:lang w:val="en-GB" w:eastAsia="de-DE"/>
        </w:rPr>
        <w:t xml:space="preserve">but </w:t>
      </w:r>
      <w:r w:rsidR="00431D43" w:rsidRPr="00497A81">
        <w:rPr>
          <w:rFonts w:ascii="Times New Roman" w:eastAsia="Times New Roman" w:hAnsi="Times New Roman" w:cs="Times New Roman"/>
          <w:color w:val="000000"/>
          <w:sz w:val="24"/>
          <w:szCs w:val="24"/>
          <w:shd w:val="clear" w:color="auto" w:fill="FFFFFF"/>
          <w:lang w:val="en-GB" w:eastAsia="de-DE"/>
        </w:rPr>
        <w:t>some remainder of diverted funds will always remain (‘residual loss’).</w:t>
      </w:r>
      <w:r w:rsidR="00431D43" w:rsidRPr="00497A81">
        <w:rPr>
          <w:rStyle w:val="Rimandonotaapidipagina"/>
          <w:rFonts w:ascii="Times New Roman" w:hAnsi="Times New Roman" w:cs="Times New Roman"/>
          <w:sz w:val="24"/>
          <w:szCs w:val="24"/>
          <w:lang w:val="en-GB"/>
        </w:rPr>
        <w:footnoteReference w:id="45"/>
      </w:r>
      <w:r w:rsidR="00431D43" w:rsidRPr="00497A81">
        <w:rPr>
          <w:rFonts w:ascii="Times New Roman" w:eastAsia="Times New Roman" w:hAnsi="Times New Roman" w:cs="Times New Roman"/>
          <w:color w:val="000000"/>
          <w:sz w:val="24"/>
          <w:szCs w:val="24"/>
          <w:shd w:val="clear" w:color="auto" w:fill="FFFFFF"/>
          <w:lang w:val="en-GB" w:eastAsia="de-DE"/>
        </w:rPr>
        <w:t xml:space="preserve"> The whole </w:t>
      </w:r>
      <w:r w:rsidR="00431D43" w:rsidRPr="00DE55A7">
        <w:rPr>
          <w:rFonts w:ascii="Times New Roman" w:eastAsia="Times New Roman" w:hAnsi="Times New Roman" w:cs="Times New Roman"/>
          <w:color w:val="000000"/>
          <w:sz w:val="24"/>
          <w:szCs w:val="24"/>
          <w:shd w:val="clear" w:color="auto" w:fill="FFFFFF"/>
          <w:lang w:val="en-GB" w:eastAsia="de-DE"/>
        </w:rPr>
        <w:t xml:space="preserve">purpose of governance and covenants is to </w:t>
      </w:r>
      <w:r w:rsidR="00962BF6" w:rsidRPr="00DE55A7">
        <w:rPr>
          <w:rFonts w:ascii="Times New Roman" w:eastAsia="Times New Roman" w:hAnsi="Times New Roman" w:cs="Times New Roman"/>
          <w:color w:val="000000"/>
          <w:sz w:val="24"/>
          <w:szCs w:val="24"/>
          <w:shd w:val="clear" w:color="auto" w:fill="FFFFFF"/>
          <w:lang w:val="en-GB" w:eastAsia="de-DE"/>
        </w:rPr>
        <w:t xml:space="preserve">minimize </w:t>
      </w:r>
      <w:r w:rsidR="00431D43" w:rsidRPr="00DE55A7">
        <w:rPr>
          <w:rFonts w:ascii="Times New Roman" w:eastAsia="Times New Roman" w:hAnsi="Times New Roman" w:cs="Times New Roman"/>
          <w:color w:val="000000"/>
          <w:sz w:val="24"/>
          <w:szCs w:val="24"/>
          <w:shd w:val="clear" w:color="auto" w:fill="FFFFFF"/>
          <w:lang w:val="en-GB" w:eastAsia="de-DE"/>
        </w:rPr>
        <w:t>these three types of costs</w:t>
      </w:r>
      <w:r w:rsidR="00962BF6" w:rsidRPr="00DE55A7">
        <w:rPr>
          <w:rFonts w:ascii="Times New Roman" w:eastAsia="Times New Roman" w:hAnsi="Times New Roman" w:cs="Times New Roman"/>
          <w:color w:val="000000"/>
          <w:sz w:val="24"/>
          <w:szCs w:val="24"/>
          <w:shd w:val="clear" w:color="auto" w:fill="FFFFFF"/>
          <w:lang w:val="en-GB" w:eastAsia="de-DE"/>
        </w:rPr>
        <w:t xml:space="preserve"> </w:t>
      </w:r>
      <w:r w:rsidR="00431D43" w:rsidRPr="00DE55A7">
        <w:rPr>
          <w:rFonts w:ascii="Times New Roman" w:eastAsia="Times New Roman" w:hAnsi="Times New Roman" w:cs="Times New Roman"/>
          <w:color w:val="000000"/>
          <w:sz w:val="24"/>
          <w:szCs w:val="24"/>
          <w:shd w:val="clear" w:color="auto" w:fill="FFFFFF"/>
          <w:lang w:val="en-GB" w:eastAsia="de-DE"/>
        </w:rPr>
        <w:t xml:space="preserve">– to render the firm </w:t>
      </w:r>
      <w:r w:rsidR="00547DF8" w:rsidRPr="00DE55A7">
        <w:rPr>
          <w:rFonts w:ascii="Times New Roman" w:eastAsia="Times New Roman" w:hAnsi="Times New Roman" w:cs="Times New Roman"/>
          <w:color w:val="000000"/>
          <w:sz w:val="24"/>
          <w:szCs w:val="24"/>
          <w:shd w:val="clear" w:color="auto" w:fill="FFFFFF"/>
          <w:lang w:val="en-GB" w:eastAsia="de-DE"/>
        </w:rPr>
        <w:t xml:space="preserve">as attractive as possible </w:t>
      </w:r>
      <w:r w:rsidR="00864F36">
        <w:rPr>
          <w:rFonts w:ascii="Times New Roman" w:eastAsia="Times New Roman" w:hAnsi="Times New Roman" w:cs="Times New Roman"/>
          <w:color w:val="000000"/>
          <w:sz w:val="24"/>
          <w:szCs w:val="24"/>
          <w:shd w:val="clear" w:color="auto" w:fill="FFFFFF"/>
          <w:lang w:val="en-GB" w:eastAsia="de-DE"/>
        </w:rPr>
        <w:t>for</w:t>
      </w:r>
      <w:r w:rsidR="00547DF8" w:rsidRPr="00DE55A7">
        <w:rPr>
          <w:rFonts w:ascii="Times New Roman" w:eastAsia="Times New Roman" w:hAnsi="Times New Roman" w:cs="Times New Roman"/>
          <w:color w:val="000000"/>
          <w:sz w:val="24"/>
          <w:szCs w:val="24"/>
          <w:shd w:val="clear" w:color="auto" w:fill="FFFFFF"/>
          <w:lang w:val="en-GB" w:eastAsia="de-DE"/>
        </w:rPr>
        <w:t xml:space="preserve"> non-managing investors</w:t>
      </w:r>
      <w:r w:rsidR="00431D43" w:rsidRPr="00DE55A7">
        <w:rPr>
          <w:rFonts w:ascii="Times New Roman" w:eastAsia="Times New Roman" w:hAnsi="Times New Roman" w:cs="Times New Roman"/>
          <w:color w:val="000000"/>
          <w:sz w:val="24"/>
          <w:szCs w:val="24"/>
          <w:shd w:val="clear" w:color="auto" w:fill="FFFFFF"/>
          <w:lang w:val="en-GB" w:eastAsia="de-DE"/>
        </w:rPr>
        <w:t>.</w:t>
      </w:r>
      <w:r w:rsidR="001B021E" w:rsidRPr="00DE55A7">
        <w:rPr>
          <w:rFonts w:ascii="Times New Roman" w:eastAsia="Times New Roman" w:hAnsi="Times New Roman" w:cs="Times New Roman"/>
          <w:color w:val="000000"/>
          <w:sz w:val="24"/>
          <w:szCs w:val="24"/>
          <w:shd w:val="clear" w:color="auto" w:fill="FFFFFF"/>
          <w:lang w:val="en-GB" w:eastAsia="de-DE"/>
        </w:rPr>
        <w:t xml:space="preserve"> </w:t>
      </w:r>
      <w:r w:rsidR="005873F2" w:rsidRPr="00DE55A7">
        <w:rPr>
          <w:rFonts w:ascii="Times New Roman" w:eastAsia="Times New Roman" w:hAnsi="Times New Roman" w:cs="Times New Roman"/>
          <w:color w:val="000000"/>
          <w:sz w:val="24"/>
          <w:szCs w:val="24"/>
          <w:shd w:val="clear" w:color="auto" w:fill="FFFFFF"/>
          <w:lang w:val="en-GB" w:eastAsia="de-DE"/>
        </w:rPr>
        <w:t>The</w:t>
      </w:r>
      <w:r w:rsidR="005873F2">
        <w:rPr>
          <w:rFonts w:ascii="Times New Roman" w:eastAsia="Times New Roman" w:hAnsi="Times New Roman" w:cs="Times New Roman"/>
          <w:color w:val="000000"/>
          <w:sz w:val="24"/>
          <w:szCs w:val="24"/>
          <w:shd w:val="clear" w:color="auto" w:fill="FFFFFF"/>
          <w:lang w:val="en-GB" w:eastAsia="de-DE"/>
        </w:rPr>
        <w:t xml:space="preserve"> market plays an important role of external governance because u</w:t>
      </w:r>
      <w:r w:rsidR="005873F2" w:rsidRPr="00497A81">
        <w:rPr>
          <w:rFonts w:ascii="Times New Roman" w:hAnsi="Times New Roman" w:cs="Times New Roman"/>
          <w:sz w:val="24"/>
          <w:szCs w:val="24"/>
          <w:lang w:val="en-GB"/>
        </w:rPr>
        <w:t>ltimately managers carry the costs of choosing the less efficient solution (p. 324 et seq.). In other words: the prime decision makers (managers) are motivated to find the agency costs minimizing arrangements. The procedural device to do so is the following: the management puts the complete arrangement on the table and beyond that looks solely at the benefit of the side of the capital market which (typically) does not initiate the arrangement. The external pressure exercised by potential managers and by alternative opportunities for actual and potential investors forces them to do so if they want to maintain their position and attract investors. The important caveat</w:t>
      </w:r>
      <w:r w:rsidR="005873F2">
        <w:rPr>
          <w:rFonts w:ascii="Times New Roman" w:hAnsi="Times New Roman" w:cs="Times New Roman"/>
          <w:sz w:val="24"/>
          <w:szCs w:val="24"/>
          <w:lang w:val="en-GB"/>
        </w:rPr>
        <w:t xml:space="preserve"> in Jensen/Meckling’s analysis</w:t>
      </w:r>
      <w:r w:rsidR="005873F2" w:rsidRPr="00497A81">
        <w:rPr>
          <w:rFonts w:ascii="Times New Roman" w:hAnsi="Times New Roman" w:cs="Times New Roman"/>
          <w:sz w:val="24"/>
          <w:szCs w:val="24"/>
          <w:lang w:val="en-GB"/>
        </w:rPr>
        <w:t xml:space="preserve"> is that capital markets are competitive, contracts are complete and investors are fully rational. </w:t>
      </w:r>
    </w:p>
    <w:p w14:paraId="6F4C0106" w14:textId="644FC7CE" w:rsidR="00933929" w:rsidRDefault="00431D43" w:rsidP="000350BB">
      <w:pPr>
        <w:spacing w:after="120" w:line="240" w:lineRule="auto"/>
        <w:jc w:val="both"/>
        <w:rPr>
          <w:rFonts w:ascii="Times New Roman" w:hAnsi="Times New Roman" w:cs="Times New Roman"/>
          <w:sz w:val="24"/>
          <w:szCs w:val="24"/>
          <w:lang w:val="en-GB"/>
        </w:rPr>
      </w:pPr>
      <w:r w:rsidRPr="00DE55A7">
        <w:rPr>
          <w:rFonts w:ascii="Times New Roman" w:eastAsia="Times New Roman" w:hAnsi="Times New Roman" w:cs="Times New Roman"/>
          <w:color w:val="000000"/>
          <w:sz w:val="24"/>
          <w:szCs w:val="24"/>
          <w:shd w:val="clear" w:color="auto" w:fill="FFFFFF"/>
          <w:lang w:val="en-GB" w:eastAsia="de-DE"/>
        </w:rPr>
        <w:t xml:space="preserve">From all this ensues what is the key finding for our purposes: </w:t>
      </w:r>
      <w:r w:rsidRPr="00DA09BA">
        <w:rPr>
          <w:rFonts w:ascii="Times New Roman" w:eastAsia="Times New Roman" w:hAnsi="Times New Roman" w:cs="Times New Roman"/>
          <w:color w:val="000000"/>
          <w:sz w:val="24"/>
          <w:szCs w:val="24"/>
          <w:shd w:val="clear" w:color="auto" w:fill="FFFFFF"/>
          <w:lang w:val="en-GB" w:eastAsia="de-DE"/>
        </w:rPr>
        <w:t xml:space="preserve">Shareholders are not conceived to be the principals because they </w:t>
      </w:r>
      <w:r w:rsidR="00F52C04">
        <w:rPr>
          <w:rFonts w:ascii="Times New Roman" w:eastAsia="Times New Roman" w:hAnsi="Times New Roman" w:cs="Times New Roman"/>
          <w:color w:val="000000"/>
          <w:sz w:val="24"/>
          <w:szCs w:val="24"/>
          <w:shd w:val="clear" w:color="auto" w:fill="FFFFFF"/>
          <w:lang w:val="en-GB" w:eastAsia="de-DE"/>
        </w:rPr>
        <w:t xml:space="preserve">are intrinsically weaker parties, in </w:t>
      </w:r>
      <w:r w:rsidRPr="00DA09BA">
        <w:rPr>
          <w:rFonts w:ascii="Times New Roman" w:eastAsia="Times New Roman" w:hAnsi="Times New Roman" w:cs="Times New Roman"/>
          <w:color w:val="000000"/>
          <w:sz w:val="24"/>
          <w:szCs w:val="24"/>
          <w:shd w:val="clear" w:color="auto" w:fill="FFFFFF"/>
          <w:lang w:val="en-GB" w:eastAsia="de-DE"/>
        </w:rPr>
        <w:t xml:space="preserve">need </w:t>
      </w:r>
      <w:r w:rsidR="00F52C04">
        <w:rPr>
          <w:rFonts w:ascii="Times New Roman" w:eastAsia="Times New Roman" w:hAnsi="Times New Roman" w:cs="Times New Roman"/>
          <w:color w:val="000000"/>
          <w:sz w:val="24"/>
          <w:szCs w:val="24"/>
          <w:shd w:val="clear" w:color="auto" w:fill="FFFFFF"/>
          <w:lang w:val="en-GB" w:eastAsia="de-DE"/>
        </w:rPr>
        <w:t xml:space="preserve">of </w:t>
      </w:r>
      <w:r w:rsidRPr="00DA09BA">
        <w:rPr>
          <w:rFonts w:ascii="Times New Roman" w:eastAsia="Times New Roman" w:hAnsi="Times New Roman" w:cs="Times New Roman"/>
          <w:color w:val="000000"/>
          <w:sz w:val="24"/>
          <w:szCs w:val="24"/>
          <w:shd w:val="clear" w:color="auto" w:fill="FFFFFF"/>
          <w:lang w:val="en-GB" w:eastAsia="de-DE"/>
        </w:rPr>
        <w:t xml:space="preserve">more protection (in fact, it may well be that they need less protection </w:t>
      </w:r>
      <w:r w:rsidR="00C21E66" w:rsidRPr="00DA09BA">
        <w:rPr>
          <w:rFonts w:ascii="Times New Roman" w:eastAsia="Times New Roman" w:hAnsi="Times New Roman" w:cs="Times New Roman"/>
          <w:color w:val="000000"/>
          <w:sz w:val="24"/>
          <w:szCs w:val="24"/>
          <w:shd w:val="clear" w:color="auto" w:fill="FFFFFF"/>
          <w:lang w:val="en-GB" w:eastAsia="de-DE"/>
        </w:rPr>
        <w:t xml:space="preserve">than managers </w:t>
      </w:r>
      <w:r w:rsidRPr="00DA09BA">
        <w:rPr>
          <w:rFonts w:ascii="Times New Roman" w:eastAsia="Times New Roman" w:hAnsi="Times New Roman" w:cs="Times New Roman"/>
          <w:color w:val="000000"/>
          <w:sz w:val="24"/>
          <w:szCs w:val="24"/>
          <w:shd w:val="clear" w:color="auto" w:fill="FFFFFF"/>
          <w:lang w:val="en-GB" w:eastAsia="de-DE"/>
        </w:rPr>
        <w:t>as they can better diversify</w:t>
      </w:r>
      <w:r w:rsidR="00DC7408" w:rsidRPr="00DA09BA">
        <w:rPr>
          <w:rStyle w:val="Rimandonotaapidipagina"/>
          <w:rFonts w:ascii="Times New Roman" w:eastAsia="Times New Roman" w:hAnsi="Times New Roman" w:cs="Times New Roman"/>
          <w:color w:val="000000"/>
          <w:sz w:val="24"/>
          <w:szCs w:val="24"/>
          <w:shd w:val="clear" w:color="auto" w:fill="FFFFFF"/>
          <w:lang w:val="en-GB" w:eastAsia="de-DE"/>
        </w:rPr>
        <w:footnoteReference w:id="46"/>
      </w:r>
      <w:r w:rsidRPr="00DA09BA">
        <w:rPr>
          <w:rFonts w:ascii="Times New Roman" w:eastAsia="Times New Roman" w:hAnsi="Times New Roman" w:cs="Times New Roman"/>
          <w:color w:val="000000"/>
          <w:sz w:val="24"/>
          <w:szCs w:val="24"/>
          <w:shd w:val="clear" w:color="auto" w:fill="FFFFFF"/>
          <w:lang w:val="en-GB" w:eastAsia="de-DE"/>
        </w:rPr>
        <w:t xml:space="preserve">). </w:t>
      </w:r>
      <w:r w:rsidR="00F52C04">
        <w:rPr>
          <w:rFonts w:ascii="Times New Roman" w:eastAsia="Times New Roman" w:hAnsi="Times New Roman" w:cs="Times New Roman"/>
          <w:color w:val="000000"/>
          <w:sz w:val="24"/>
          <w:szCs w:val="24"/>
          <w:shd w:val="clear" w:color="auto" w:fill="FFFFFF"/>
          <w:lang w:val="en-GB" w:eastAsia="de-DE"/>
        </w:rPr>
        <w:t>In fact</w:t>
      </w:r>
      <w:r w:rsidR="00E7347F">
        <w:rPr>
          <w:rFonts w:ascii="Times New Roman" w:eastAsia="Times New Roman" w:hAnsi="Times New Roman" w:cs="Times New Roman"/>
          <w:color w:val="000000"/>
          <w:sz w:val="24"/>
          <w:szCs w:val="24"/>
          <w:shd w:val="clear" w:color="auto" w:fill="FFFFFF"/>
          <w:lang w:val="en-GB" w:eastAsia="de-DE"/>
        </w:rPr>
        <w:t>, t</w:t>
      </w:r>
      <w:r w:rsidR="00E7347F" w:rsidRPr="00DA09BA">
        <w:rPr>
          <w:rFonts w:ascii="Times New Roman" w:eastAsia="Times New Roman" w:hAnsi="Times New Roman" w:cs="Times New Roman"/>
          <w:color w:val="000000"/>
          <w:sz w:val="24"/>
          <w:szCs w:val="24"/>
          <w:shd w:val="clear" w:color="auto" w:fill="FFFFFF"/>
          <w:lang w:val="en-GB" w:eastAsia="de-DE"/>
        </w:rPr>
        <w:t xml:space="preserve">he </w:t>
      </w:r>
      <w:r w:rsidRPr="00DA09BA">
        <w:rPr>
          <w:rFonts w:ascii="Times New Roman" w:eastAsia="Times New Roman" w:hAnsi="Times New Roman" w:cs="Times New Roman"/>
          <w:color w:val="000000"/>
          <w:sz w:val="24"/>
          <w:szCs w:val="24"/>
          <w:shd w:val="clear" w:color="auto" w:fill="FFFFFF"/>
          <w:lang w:val="en-GB" w:eastAsia="de-DE"/>
        </w:rPr>
        <w:t>core reason</w:t>
      </w:r>
      <w:r w:rsidRPr="00DE55A7">
        <w:rPr>
          <w:rFonts w:ascii="Times New Roman" w:eastAsia="Times New Roman" w:hAnsi="Times New Roman" w:cs="Times New Roman"/>
          <w:color w:val="000000"/>
          <w:sz w:val="24"/>
          <w:szCs w:val="24"/>
          <w:shd w:val="clear" w:color="auto" w:fill="FFFFFF"/>
          <w:lang w:val="en-GB" w:eastAsia="de-DE"/>
        </w:rPr>
        <w:t xml:space="preserve"> for conceiving shareholders</w:t>
      </w:r>
      <w:r w:rsidR="005873F2">
        <w:rPr>
          <w:rFonts w:ascii="Times New Roman" w:eastAsia="Times New Roman" w:hAnsi="Times New Roman" w:cs="Times New Roman"/>
          <w:color w:val="000000"/>
          <w:sz w:val="24"/>
          <w:szCs w:val="24"/>
          <w:shd w:val="clear" w:color="auto" w:fill="FFFFFF"/>
          <w:lang w:val="en-GB" w:eastAsia="de-DE"/>
        </w:rPr>
        <w:t xml:space="preserve"> and investors more generally</w:t>
      </w:r>
      <w:r w:rsidRPr="00DE55A7">
        <w:rPr>
          <w:rFonts w:ascii="Times New Roman" w:eastAsia="Times New Roman" w:hAnsi="Times New Roman" w:cs="Times New Roman"/>
          <w:color w:val="000000"/>
          <w:sz w:val="24"/>
          <w:szCs w:val="24"/>
          <w:shd w:val="clear" w:color="auto" w:fill="FFFFFF"/>
          <w:lang w:val="en-GB" w:eastAsia="de-DE"/>
        </w:rPr>
        <w:t xml:space="preserve"> as principals is </w:t>
      </w:r>
      <w:r w:rsidR="00F97A09" w:rsidRPr="00DE55A7">
        <w:rPr>
          <w:rFonts w:ascii="Times New Roman" w:eastAsia="Times New Roman" w:hAnsi="Times New Roman" w:cs="Times New Roman"/>
          <w:color w:val="000000"/>
          <w:sz w:val="24"/>
          <w:szCs w:val="24"/>
          <w:shd w:val="clear" w:color="auto" w:fill="FFFFFF"/>
          <w:lang w:val="en-GB" w:eastAsia="de-DE"/>
        </w:rPr>
        <w:t xml:space="preserve">rather </w:t>
      </w:r>
      <w:r w:rsidRPr="00DE55A7">
        <w:rPr>
          <w:rFonts w:ascii="Times New Roman" w:eastAsia="Times New Roman" w:hAnsi="Times New Roman" w:cs="Times New Roman"/>
          <w:color w:val="000000"/>
          <w:sz w:val="24"/>
          <w:szCs w:val="24"/>
          <w:shd w:val="clear" w:color="auto" w:fill="FFFFFF"/>
          <w:lang w:val="en-GB" w:eastAsia="de-DE"/>
        </w:rPr>
        <w:t>that the</w:t>
      </w:r>
      <w:r w:rsidR="007D0830">
        <w:rPr>
          <w:rFonts w:ascii="Times New Roman" w:eastAsia="Times New Roman" w:hAnsi="Times New Roman" w:cs="Times New Roman"/>
          <w:color w:val="000000"/>
          <w:sz w:val="24"/>
          <w:szCs w:val="24"/>
          <w:shd w:val="clear" w:color="auto" w:fill="FFFFFF"/>
          <w:lang w:val="en-GB" w:eastAsia="de-DE"/>
        </w:rPr>
        <w:t>y own the resources managed by the company</w:t>
      </w:r>
      <w:r w:rsidRPr="00DE55A7">
        <w:rPr>
          <w:rFonts w:ascii="Times New Roman" w:eastAsia="Times New Roman" w:hAnsi="Times New Roman" w:cs="Times New Roman"/>
          <w:color w:val="000000"/>
          <w:sz w:val="24"/>
          <w:szCs w:val="24"/>
          <w:shd w:val="clear" w:color="auto" w:fill="FFFFFF"/>
          <w:lang w:val="en-GB" w:eastAsia="de-DE"/>
        </w:rPr>
        <w:t>.</w:t>
      </w:r>
      <w:r w:rsidR="00864F36">
        <w:rPr>
          <w:rFonts w:ascii="Times New Roman" w:eastAsia="Times New Roman" w:hAnsi="Times New Roman" w:cs="Times New Roman"/>
          <w:color w:val="000000"/>
          <w:sz w:val="24"/>
          <w:szCs w:val="24"/>
          <w:shd w:val="clear" w:color="auto" w:fill="FFFFFF"/>
          <w:lang w:val="en-GB" w:eastAsia="de-DE"/>
        </w:rPr>
        <w:t xml:space="preserve"> We therefore call this “the property conception of the firm”.</w:t>
      </w:r>
      <w:r w:rsidRPr="00DE55A7">
        <w:rPr>
          <w:rFonts w:ascii="Times New Roman" w:eastAsia="Times New Roman" w:hAnsi="Times New Roman" w:cs="Times New Roman"/>
          <w:color w:val="000000"/>
          <w:sz w:val="24"/>
          <w:szCs w:val="24"/>
          <w:shd w:val="clear" w:color="auto" w:fill="FFFFFF"/>
          <w:lang w:val="en-GB" w:eastAsia="de-DE"/>
        </w:rPr>
        <w:t xml:space="preserve"> </w:t>
      </w:r>
      <w:r w:rsidR="007D0830">
        <w:rPr>
          <w:rFonts w:ascii="Times New Roman" w:hAnsi="Times New Roman" w:cs="Times New Roman"/>
          <w:sz w:val="24"/>
          <w:szCs w:val="24"/>
          <w:lang w:val="en-GB"/>
        </w:rPr>
        <w:t xml:space="preserve">Can this line of argument be applied </w:t>
      </w:r>
      <w:r w:rsidR="00D93C72">
        <w:rPr>
          <w:rFonts w:ascii="Times New Roman" w:hAnsi="Times New Roman" w:cs="Times New Roman"/>
          <w:sz w:val="24"/>
          <w:szCs w:val="24"/>
          <w:lang w:val="en-GB"/>
        </w:rPr>
        <w:t xml:space="preserve">also </w:t>
      </w:r>
      <w:r w:rsidR="007D0830">
        <w:rPr>
          <w:rFonts w:ascii="Times New Roman" w:hAnsi="Times New Roman" w:cs="Times New Roman"/>
          <w:sz w:val="24"/>
          <w:szCs w:val="24"/>
          <w:lang w:val="en-GB"/>
        </w:rPr>
        <w:t xml:space="preserve">to consumers? We </w:t>
      </w:r>
      <w:r w:rsidR="00F52C04">
        <w:rPr>
          <w:rFonts w:ascii="Times New Roman" w:hAnsi="Times New Roman" w:cs="Times New Roman"/>
          <w:sz w:val="24"/>
          <w:szCs w:val="24"/>
          <w:lang w:val="en-GB"/>
        </w:rPr>
        <w:t>claim</w:t>
      </w:r>
      <w:r w:rsidR="007D0830">
        <w:rPr>
          <w:rFonts w:ascii="Times New Roman" w:hAnsi="Times New Roman" w:cs="Times New Roman"/>
          <w:sz w:val="24"/>
          <w:szCs w:val="24"/>
          <w:lang w:val="en-GB"/>
        </w:rPr>
        <w:t xml:space="preserve"> it can.</w:t>
      </w:r>
      <w:r w:rsidR="00C21E66" w:rsidRPr="00497A81">
        <w:rPr>
          <w:rFonts w:ascii="Times New Roman" w:hAnsi="Times New Roman" w:cs="Times New Roman"/>
          <w:sz w:val="24"/>
          <w:szCs w:val="24"/>
          <w:lang w:val="en-GB"/>
        </w:rPr>
        <w:t xml:space="preserve"> </w:t>
      </w:r>
      <w:r w:rsidR="007D0830">
        <w:rPr>
          <w:rFonts w:ascii="Times New Roman" w:hAnsi="Times New Roman" w:cs="Times New Roman"/>
          <w:sz w:val="24"/>
          <w:szCs w:val="24"/>
          <w:lang w:val="en-GB"/>
        </w:rPr>
        <w:t xml:space="preserve">The consumer has property over some resources that he can use directly for consumption </w:t>
      </w:r>
      <w:r w:rsidR="007833EF">
        <w:rPr>
          <w:rFonts w:ascii="Times New Roman" w:hAnsi="Times New Roman" w:cs="Times New Roman"/>
          <w:sz w:val="24"/>
          <w:szCs w:val="24"/>
          <w:lang w:val="en-GB"/>
        </w:rPr>
        <w:t>or</w:t>
      </w:r>
      <w:r w:rsidR="007D0830">
        <w:rPr>
          <w:rFonts w:ascii="Times New Roman" w:hAnsi="Times New Roman" w:cs="Times New Roman"/>
          <w:sz w:val="24"/>
          <w:szCs w:val="24"/>
          <w:lang w:val="en-GB"/>
        </w:rPr>
        <w:t xml:space="preserve"> transfer to someone else</w:t>
      </w:r>
      <w:r w:rsidR="00D93C72">
        <w:rPr>
          <w:rFonts w:ascii="Times New Roman" w:hAnsi="Times New Roman" w:cs="Times New Roman"/>
          <w:sz w:val="24"/>
          <w:szCs w:val="24"/>
          <w:lang w:val="en-GB"/>
        </w:rPr>
        <w:t xml:space="preserve"> in exchange for other resources</w:t>
      </w:r>
      <w:r w:rsidR="007D0830">
        <w:rPr>
          <w:rFonts w:ascii="Times New Roman" w:hAnsi="Times New Roman" w:cs="Times New Roman"/>
          <w:sz w:val="24"/>
          <w:szCs w:val="24"/>
          <w:lang w:val="en-GB"/>
        </w:rPr>
        <w:t>.</w:t>
      </w:r>
      <w:r w:rsidR="007833EF">
        <w:rPr>
          <w:rFonts w:ascii="Times New Roman" w:hAnsi="Times New Roman" w:cs="Times New Roman"/>
          <w:sz w:val="24"/>
          <w:szCs w:val="24"/>
          <w:lang w:val="en-GB"/>
        </w:rPr>
        <w:t xml:space="preserve"> The choice is based on what increases more his own welfare. </w:t>
      </w:r>
      <w:r w:rsidR="006B0422">
        <w:rPr>
          <w:rFonts w:ascii="Times New Roman" w:hAnsi="Times New Roman" w:cs="Times New Roman"/>
          <w:sz w:val="24"/>
          <w:szCs w:val="24"/>
          <w:lang w:val="en-GB"/>
        </w:rPr>
        <w:t>The</w:t>
      </w:r>
      <w:r w:rsidR="007833EF">
        <w:rPr>
          <w:rFonts w:ascii="Times New Roman" w:hAnsi="Times New Roman" w:cs="Times New Roman"/>
          <w:sz w:val="24"/>
          <w:szCs w:val="24"/>
          <w:lang w:val="en-GB"/>
        </w:rPr>
        <w:t xml:space="preserve"> </w:t>
      </w:r>
      <w:r w:rsidR="006B0422">
        <w:rPr>
          <w:rFonts w:ascii="Times New Roman" w:hAnsi="Times New Roman" w:cs="Times New Roman"/>
          <w:sz w:val="24"/>
          <w:szCs w:val="24"/>
          <w:lang w:val="en-GB"/>
        </w:rPr>
        <w:t xml:space="preserve">act of transferring represents the homologous of </w:t>
      </w:r>
      <w:r w:rsidR="006B0422">
        <w:rPr>
          <w:rFonts w:ascii="Times New Roman" w:hAnsi="Times New Roman" w:cs="Times New Roman"/>
          <w:sz w:val="24"/>
          <w:szCs w:val="24"/>
          <w:lang w:val="en-GB"/>
        </w:rPr>
        <w:lastRenderedPageBreak/>
        <w:t>the delegation of powers over property in a company.</w:t>
      </w:r>
      <w:r w:rsidR="007D0830">
        <w:rPr>
          <w:rFonts w:ascii="Times New Roman" w:hAnsi="Times New Roman" w:cs="Times New Roman"/>
          <w:sz w:val="24"/>
          <w:szCs w:val="24"/>
          <w:lang w:val="en-GB"/>
        </w:rPr>
        <w:t xml:space="preserve"> </w:t>
      </w:r>
      <w:r w:rsidR="006B0422">
        <w:rPr>
          <w:rFonts w:ascii="Times New Roman" w:hAnsi="Times New Roman" w:cs="Times New Roman"/>
          <w:sz w:val="24"/>
          <w:szCs w:val="24"/>
          <w:lang w:val="en-GB"/>
        </w:rPr>
        <w:t>Entrepreneurs</w:t>
      </w:r>
      <w:r w:rsidR="00D93C72">
        <w:rPr>
          <w:rFonts w:ascii="Times New Roman" w:hAnsi="Times New Roman" w:cs="Times New Roman"/>
          <w:sz w:val="24"/>
          <w:szCs w:val="24"/>
          <w:lang w:val="en-GB"/>
        </w:rPr>
        <w:t xml:space="preserve"> on the market</w:t>
      </w:r>
      <w:r w:rsidR="006B0422">
        <w:rPr>
          <w:rFonts w:ascii="Times New Roman" w:hAnsi="Times New Roman" w:cs="Times New Roman"/>
          <w:sz w:val="24"/>
          <w:szCs w:val="24"/>
          <w:lang w:val="en-GB"/>
        </w:rPr>
        <w:t xml:space="preserve"> – just like the management of a company –</w:t>
      </w:r>
      <w:r w:rsidR="00C21E66" w:rsidRPr="00497A81">
        <w:rPr>
          <w:rFonts w:ascii="Times New Roman" w:hAnsi="Times New Roman" w:cs="Times New Roman"/>
          <w:sz w:val="24"/>
          <w:szCs w:val="24"/>
          <w:lang w:val="en-GB"/>
        </w:rPr>
        <w:t xml:space="preserve"> are best positioned to put an offer fully fleshed out on the table and for all the remainder look solely at the benefit of the other side. </w:t>
      </w:r>
      <w:r w:rsidR="00DF1B93" w:rsidRPr="00497A81">
        <w:rPr>
          <w:rFonts w:ascii="Times New Roman" w:hAnsi="Times New Roman" w:cs="Times New Roman"/>
          <w:sz w:val="24"/>
          <w:szCs w:val="24"/>
          <w:lang w:val="en-GB"/>
        </w:rPr>
        <w:t>They do so driven by the invisible hand of the market</w:t>
      </w:r>
      <w:r w:rsidR="00633503" w:rsidRPr="00497A81">
        <w:rPr>
          <w:rFonts w:ascii="Times New Roman" w:hAnsi="Times New Roman" w:cs="Times New Roman"/>
          <w:sz w:val="24"/>
          <w:szCs w:val="24"/>
          <w:lang w:val="en-GB"/>
        </w:rPr>
        <w:t xml:space="preserve"> – at least under the same caveat of perfect competition, contractual completeness and full rationality</w:t>
      </w:r>
      <w:r w:rsidR="00DF1B93" w:rsidRPr="00497A81">
        <w:rPr>
          <w:rFonts w:ascii="Times New Roman" w:hAnsi="Times New Roman" w:cs="Times New Roman"/>
          <w:sz w:val="24"/>
          <w:szCs w:val="24"/>
          <w:lang w:val="en-GB"/>
        </w:rPr>
        <w:t>. In both cases, entrepreneurs are compelled by the market mechanism to work in the interest of someone else. Of course, if the market is not perfect, entrepreneurs will not be compelled to be perfect agents.</w:t>
      </w:r>
      <w:r w:rsidR="00AE1B9C" w:rsidRPr="00497A81">
        <w:rPr>
          <w:rFonts w:ascii="Times New Roman" w:hAnsi="Times New Roman" w:cs="Times New Roman"/>
          <w:sz w:val="24"/>
          <w:szCs w:val="24"/>
          <w:lang w:val="en-GB"/>
        </w:rPr>
        <w:t xml:space="preserve"> </w:t>
      </w:r>
      <w:r w:rsidR="0051688B" w:rsidRPr="00497A81">
        <w:rPr>
          <w:rFonts w:ascii="Times New Roman" w:hAnsi="Times New Roman" w:cs="Times New Roman"/>
          <w:sz w:val="24"/>
          <w:szCs w:val="24"/>
          <w:lang w:val="en-GB"/>
        </w:rPr>
        <w:t>Hence, also within this framework, the usual economic justification for legal intervention aimed at correcting market failures applies.</w:t>
      </w:r>
      <w:r w:rsidR="006B0422">
        <w:rPr>
          <w:rFonts w:ascii="Times New Roman" w:hAnsi="Times New Roman" w:cs="Times New Roman"/>
          <w:sz w:val="24"/>
          <w:szCs w:val="24"/>
          <w:lang w:val="en-GB"/>
        </w:rPr>
        <w:t xml:space="preserve"> A confirmation of the soundness of this analysis can be found in the use of property language for blaming monopolists, but also company managers</w:t>
      </w:r>
      <w:r w:rsidR="00D3161F">
        <w:rPr>
          <w:rFonts w:ascii="Times New Roman" w:hAnsi="Times New Roman" w:cs="Times New Roman"/>
          <w:sz w:val="24"/>
          <w:szCs w:val="24"/>
          <w:lang w:val="en-GB"/>
        </w:rPr>
        <w:t xml:space="preserve"> that are not optimal agents</w:t>
      </w:r>
      <w:r w:rsidR="006B0422">
        <w:rPr>
          <w:rFonts w:ascii="Times New Roman" w:hAnsi="Times New Roman" w:cs="Times New Roman"/>
          <w:sz w:val="24"/>
          <w:szCs w:val="24"/>
          <w:lang w:val="en-GB"/>
        </w:rPr>
        <w:t xml:space="preserve">: they are </w:t>
      </w:r>
      <w:r w:rsidR="00D3161F">
        <w:rPr>
          <w:rFonts w:ascii="Times New Roman" w:hAnsi="Times New Roman" w:cs="Times New Roman"/>
          <w:sz w:val="24"/>
          <w:szCs w:val="24"/>
          <w:lang w:val="en-GB"/>
        </w:rPr>
        <w:t xml:space="preserve">all </w:t>
      </w:r>
      <w:r w:rsidR="006B0422">
        <w:rPr>
          <w:rFonts w:ascii="Times New Roman" w:hAnsi="Times New Roman" w:cs="Times New Roman"/>
          <w:sz w:val="24"/>
          <w:szCs w:val="24"/>
          <w:lang w:val="en-GB"/>
        </w:rPr>
        <w:t>th</w:t>
      </w:r>
      <w:r w:rsidR="00D3161F">
        <w:rPr>
          <w:rFonts w:ascii="Times New Roman" w:hAnsi="Times New Roman" w:cs="Times New Roman"/>
          <w:sz w:val="24"/>
          <w:szCs w:val="24"/>
          <w:lang w:val="en-GB"/>
        </w:rPr>
        <w:t>ieves</w:t>
      </w:r>
      <w:r w:rsidR="006B0422">
        <w:rPr>
          <w:rFonts w:ascii="Times New Roman" w:hAnsi="Times New Roman" w:cs="Times New Roman"/>
          <w:sz w:val="24"/>
          <w:szCs w:val="24"/>
          <w:lang w:val="en-GB"/>
        </w:rPr>
        <w:t>! If they are th</w:t>
      </w:r>
      <w:r w:rsidR="00D3161F">
        <w:rPr>
          <w:rFonts w:ascii="Times New Roman" w:hAnsi="Times New Roman" w:cs="Times New Roman"/>
          <w:sz w:val="24"/>
          <w:szCs w:val="24"/>
          <w:lang w:val="en-GB"/>
        </w:rPr>
        <w:t>ieves</w:t>
      </w:r>
      <w:r w:rsidR="006B0422">
        <w:rPr>
          <w:rFonts w:ascii="Times New Roman" w:hAnsi="Times New Roman" w:cs="Times New Roman"/>
          <w:sz w:val="24"/>
          <w:szCs w:val="24"/>
          <w:lang w:val="en-GB"/>
        </w:rPr>
        <w:t>,</w:t>
      </w:r>
      <w:r w:rsidR="00D93C72">
        <w:rPr>
          <w:rFonts w:ascii="Times New Roman" w:hAnsi="Times New Roman" w:cs="Times New Roman"/>
          <w:sz w:val="24"/>
          <w:szCs w:val="24"/>
          <w:lang w:val="en-GB"/>
        </w:rPr>
        <w:t xml:space="preserve"> then</w:t>
      </w:r>
      <w:r w:rsidR="006B0422">
        <w:rPr>
          <w:rFonts w:ascii="Times New Roman" w:hAnsi="Times New Roman" w:cs="Times New Roman"/>
          <w:sz w:val="24"/>
          <w:szCs w:val="24"/>
          <w:lang w:val="en-GB"/>
        </w:rPr>
        <w:t xml:space="preserve"> they </w:t>
      </w:r>
      <w:r w:rsidR="00F52C04">
        <w:rPr>
          <w:rFonts w:ascii="Times New Roman" w:hAnsi="Times New Roman" w:cs="Times New Roman"/>
          <w:sz w:val="24"/>
          <w:szCs w:val="24"/>
          <w:lang w:val="en-GB"/>
        </w:rPr>
        <w:t xml:space="preserve">are </w:t>
      </w:r>
      <w:r w:rsidR="006B0422">
        <w:rPr>
          <w:rFonts w:ascii="Times New Roman" w:hAnsi="Times New Roman" w:cs="Times New Roman"/>
          <w:sz w:val="24"/>
          <w:szCs w:val="24"/>
          <w:lang w:val="en-GB"/>
        </w:rPr>
        <w:t>stealing someone’s else property. This language has been used, for example, by Willian Hutt with reference to monopolists</w:t>
      </w:r>
      <w:r w:rsidR="00C74057">
        <w:rPr>
          <w:rFonts w:ascii="Times New Roman" w:hAnsi="Times New Roman" w:cs="Times New Roman"/>
          <w:sz w:val="24"/>
          <w:szCs w:val="24"/>
          <w:lang w:val="en-GB"/>
        </w:rPr>
        <w:t xml:space="preserve"> </w:t>
      </w:r>
      <w:r w:rsidR="00C74057" w:rsidRPr="005873F2">
        <w:rPr>
          <w:rFonts w:ascii="Times New Roman" w:hAnsi="Times New Roman" w:cs="Times New Roman"/>
          <w:sz w:val="24"/>
          <w:szCs w:val="24"/>
          <w:lang w:val="en-GB"/>
        </w:rPr>
        <w:t>(</w:t>
      </w:r>
      <w:r w:rsidR="00C74057" w:rsidRPr="001547E0">
        <w:rPr>
          <w:rFonts w:ascii="Times New Roman" w:eastAsia="SimSun" w:hAnsi="Times New Roman" w:cs="Times New Roman"/>
          <w:sz w:val="24"/>
          <w:szCs w:val="24"/>
          <w:lang w:val="en-GB" w:eastAsia="zh-CN"/>
        </w:rPr>
        <w:t>“monopoly … infuses into distribution an element of robbery”</w:t>
      </w:r>
      <w:r w:rsidR="00C74057" w:rsidRPr="001547E0">
        <w:rPr>
          <w:rFonts w:ascii="Times New Roman" w:eastAsia="SimSun" w:hAnsi="Times New Roman" w:cs="Times New Roman"/>
          <w:sz w:val="24"/>
          <w:szCs w:val="24"/>
          <w:vertAlign w:val="superscript"/>
          <w:lang w:val="en-GB" w:eastAsia="zh-CN"/>
        </w:rPr>
        <w:footnoteReference w:id="47"/>
      </w:r>
      <w:r w:rsidR="00C74057" w:rsidRPr="001547E0">
        <w:rPr>
          <w:rFonts w:ascii="Times New Roman" w:eastAsia="SimSun" w:hAnsi="Times New Roman" w:cs="Times New Roman"/>
          <w:lang w:val="en-GB" w:eastAsia="zh-CN"/>
        </w:rPr>
        <w:t>)</w:t>
      </w:r>
      <w:r w:rsidR="006B0422">
        <w:rPr>
          <w:rFonts w:ascii="Times New Roman" w:hAnsi="Times New Roman" w:cs="Times New Roman"/>
          <w:sz w:val="24"/>
          <w:szCs w:val="24"/>
          <w:lang w:val="en-GB"/>
        </w:rPr>
        <w:t xml:space="preserve"> and by Judge Posner with reference to </w:t>
      </w:r>
      <w:r w:rsidR="00D3161F">
        <w:rPr>
          <w:rFonts w:ascii="Times New Roman" w:hAnsi="Times New Roman" w:cs="Times New Roman"/>
          <w:sz w:val="24"/>
          <w:szCs w:val="24"/>
          <w:lang w:val="en-GB"/>
        </w:rPr>
        <w:t>managerial overcompensation which has “redistributive effects [that] are obvious and troubling from an ethical standpoint because, by definition, overcompensation is a kind of theft from shareholders”</w:t>
      </w:r>
      <w:r w:rsidR="006B0422">
        <w:rPr>
          <w:rFonts w:ascii="Times New Roman" w:hAnsi="Times New Roman" w:cs="Times New Roman"/>
          <w:sz w:val="24"/>
          <w:szCs w:val="24"/>
          <w:lang w:val="en-GB"/>
        </w:rPr>
        <w:t>.</w:t>
      </w:r>
      <w:r w:rsidR="006B0422">
        <w:rPr>
          <w:rStyle w:val="Rimandonotaapidipagina"/>
          <w:rFonts w:ascii="Times New Roman" w:hAnsi="Times New Roman" w:cs="Times New Roman"/>
          <w:sz w:val="24"/>
          <w:szCs w:val="24"/>
          <w:lang w:val="en-GB"/>
        </w:rPr>
        <w:footnoteReference w:id="48"/>
      </w:r>
      <w:r w:rsidR="006B0422">
        <w:rPr>
          <w:rFonts w:ascii="Times New Roman" w:hAnsi="Times New Roman" w:cs="Times New Roman"/>
          <w:sz w:val="24"/>
          <w:szCs w:val="24"/>
          <w:lang w:val="en-GB"/>
        </w:rPr>
        <w:t xml:space="preserve"> Posner’s </w:t>
      </w:r>
      <w:r w:rsidR="00C74057">
        <w:rPr>
          <w:rFonts w:ascii="Times New Roman" w:hAnsi="Times New Roman" w:cs="Times New Roman"/>
          <w:sz w:val="24"/>
          <w:szCs w:val="24"/>
          <w:lang w:val="en-GB"/>
        </w:rPr>
        <w:t>statement is surprising: not only Posner takes part from the Chicago School</w:t>
      </w:r>
      <w:r w:rsidR="00D93C72">
        <w:rPr>
          <w:rFonts w:ascii="Times New Roman" w:hAnsi="Times New Roman" w:cs="Times New Roman"/>
          <w:sz w:val="24"/>
          <w:szCs w:val="24"/>
          <w:lang w:val="en-GB"/>
        </w:rPr>
        <w:t>’s</w:t>
      </w:r>
      <w:r w:rsidR="00C74057">
        <w:rPr>
          <w:rFonts w:ascii="Times New Roman" w:hAnsi="Times New Roman" w:cs="Times New Roman"/>
          <w:sz w:val="24"/>
          <w:szCs w:val="24"/>
          <w:lang w:val="en-GB"/>
        </w:rPr>
        <w:t xml:space="preserve"> positive attitude towards </w:t>
      </w:r>
      <w:r w:rsidR="00D3161F">
        <w:rPr>
          <w:rFonts w:ascii="Times New Roman" w:hAnsi="Times New Roman" w:cs="Times New Roman"/>
          <w:sz w:val="24"/>
          <w:szCs w:val="24"/>
          <w:lang w:val="en-GB"/>
        </w:rPr>
        <w:t xml:space="preserve">existing </w:t>
      </w:r>
      <w:r w:rsidR="00C74057">
        <w:rPr>
          <w:rFonts w:ascii="Times New Roman" w:hAnsi="Times New Roman" w:cs="Times New Roman"/>
          <w:sz w:val="24"/>
          <w:szCs w:val="24"/>
          <w:lang w:val="en-GB"/>
        </w:rPr>
        <w:t>corporate management and finance</w:t>
      </w:r>
      <w:r w:rsidR="00D3161F">
        <w:rPr>
          <w:rFonts w:ascii="Times New Roman" w:hAnsi="Times New Roman" w:cs="Times New Roman"/>
          <w:sz w:val="24"/>
          <w:szCs w:val="24"/>
          <w:lang w:val="en-GB"/>
        </w:rPr>
        <w:t xml:space="preserve"> structures</w:t>
      </w:r>
      <w:r w:rsidR="00C74057">
        <w:rPr>
          <w:rStyle w:val="Rimandonotaapidipagina"/>
          <w:rFonts w:ascii="Times New Roman" w:hAnsi="Times New Roman" w:cs="Times New Roman"/>
          <w:sz w:val="24"/>
          <w:szCs w:val="24"/>
          <w:lang w:val="en-GB"/>
        </w:rPr>
        <w:footnoteReference w:id="49"/>
      </w:r>
      <w:r w:rsidR="00C74057">
        <w:rPr>
          <w:rFonts w:ascii="Times New Roman" w:hAnsi="Times New Roman" w:cs="Times New Roman"/>
          <w:sz w:val="24"/>
          <w:szCs w:val="24"/>
          <w:lang w:val="en-GB"/>
        </w:rPr>
        <w:t xml:space="preserve"> but, more fundamentally, this </w:t>
      </w:r>
      <w:r w:rsidR="00D3161F">
        <w:rPr>
          <w:rFonts w:ascii="Times New Roman" w:hAnsi="Times New Roman" w:cs="Times New Roman"/>
          <w:sz w:val="24"/>
          <w:szCs w:val="24"/>
          <w:lang w:val="en-GB"/>
        </w:rPr>
        <w:t>“theft theory of harm”</w:t>
      </w:r>
      <w:r w:rsidR="00C74057">
        <w:rPr>
          <w:rFonts w:ascii="Times New Roman" w:hAnsi="Times New Roman" w:cs="Times New Roman"/>
          <w:sz w:val="24"/>
          <w:szCs w:val="24"/>
          <w:lang w:val="en-GB"/>
        </w:rPr>
        <w:t xml:space="preserve"> is basically incompatible with the idea that redistribution of wealth is irrelevant for economic analysis – an idea truly at the core of his wealth maximization framework</w:t>
      </w:r>
      <w:r w:rsidR="008E3B0C">
        <w:rPr>
          <w:rFonts w:ascii="Times New Roman" w:hAnsi="Times New Roman" w:cs="Times New Roman"/>
          <w:sz w:val="24"/>
          <w:szCs w:val="24"/>
          <w:lang w:val="en-GB"/>
        </w:rPr>
        <w:t xml:space="preserve"> and of his economic analysis of law</w:t>
      </w:r>
      <w:r w:rsidR="00C74057">
        <w:rPr>
          <w:rFonts w:ascii="Times New Roman" w:hAnsi="Times New Roman" w:cs="Times New Roman"/>
          <w:sz w:val="24"/>
          <w:szCs w:val="24"/>
          <w:lang w:val="en-GB"/>
        </w:rPr>
        <w:t>.</w:t>
      </w:r>
      <w:r w:rsidR="00C74057">
        <w:rPr>
          <w:rStyle w:val="Rimandonotaapidipagina"/>
          <w:rFonts w:ascii="Times New Roman" w:hAnsi="Times New Roman" w:cs="Times New Roman"/>
          <w:sz w:val="24"/>
          <w:szCs w:val="24"/>
          <w:lang w:val="en-GB"/>
        </w:rPr>
        <w:footnoteReference w:id="50"/>
      </w:r>
      <w:r w:rsidR="00C74057">
        <w:rPr>
          <w:rFonts w:ascii="Times New Roman" w:hAnsi="Times New Roman" w:cs="Times New Roman"/>
          <w:sz w:val="24"/>
          <w:szCs w:val="24"/>
          <w:lang w:val="en-GB"/>
        </w:rPr>
        <w:t xml:space="preserve"> </w:t>
      </w:r>
      <w:r w:rsidR="005873F2">
        <w:rPr>
          <w:rFonts w:ascii="Times New Roman" w:hAnsi="Times New Roman" w:cs="Times New Roman"/>
          <w:sz w:val="24"/>
          <w:szCs w:val="24"/>
          <w:lang w:val="en-GB"/>
        </w:rPr>
        <w:t>To the contrary, this theft theory is completely compatible with the conception of allocative efficiency suggested in this article.</w:t>
      </w:r>
    </w:p>
    <w:p w14:paraId="68BA5900" w14:textId="53FBD73B" w:rsidR="002E0DAD" w:rsidRDefault="002E0DAD" w:rsidP="000350BB">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stated above, we cannot claim victory on the grounds of this brief analysis. What we think it can comfortably be done is, instead, challeng</w:t>
      </w:r>
      <w:r w:rsidR="002F09AD">
        <w:rPr>
          <w:rFonts w:ascii="Times New Roman" w:hAnsi="Times New Roman" w:cs="Times New Roman"/>
          <w:sz w:val="24"/>
          <w:szCs w:val="24"/>
          <w:lang w:val="en-GB"/>
        </w:rPr>
        <w:t>ing</w:t>
      </w:r>
      <w:r>
        <w:rPr>
          <w:rFonts w:ascii="Times New Roman" w:hAnsi="Times New Roman" w:cs="Times New Roman"/>
          <w:sz w:val="24"/>
          <w:szCs w:val="24"/>
          <w:lang w:val="en-GB"/>
        </w:rPr>
        <w:t xml:space="preserve"> the mainstream framework. </w:t>
      </w:r>
      <w:r>
        <w:rPr>
          <w:rFonts w:ascii="Times New Roman" w:eastAsia="SimSun" w:hAnsi="Times New Roman" w:cs="Times New Roman"/>
          <w:iCs/>
          <w:sz w:val="24"/>
          <w:szCs w:val="24"/>
          <w:lang w:val="en-GB" w:eastAsia="zh-CN"/>
        </w:rPr>
        <w:t>In our understanding, that framework</w:t>
      </w:r>
      <w:r w:rsidRPr="00497A81">
        <w:rPr>
          <w:rFonts w:ascii="Times New Roman" w:eastAsia="SimSun" w:hAnsi="Times New Roman" w:cs="Times New Roman"/>
          <w:iCs/>
          <w:sz w:val="24"/>
          <w:szCs w:val="24"/>
          <w:lang w:val="en-GB" w:eastAsia="zh-CN"/>
        </w:rPr>
        <w:t xml:space="preserve"> basically faces four alternatives. First, </w:t>
      </w:r>
      <w:r w:rsidR="00B83653">
        <w:rPr>
          <w:rFonts w:ascii="Times New Roman" w:eastAsia="SimSun" w:hAnsi="Times New Roman" w:cs="Times New Roman"/>
          <w:iCs/>
          <w:sz w:val="24"/>
          <w:szCs w:val="24"/>
          <w:lang w:val="en-GB" w:eastAsia="zh-CN"/>
        </w:rPr>
        <w:t>rejecting</w:t>
      </w:r>
      <w:r w:rsidR="00B83653" w:rsidRPr="00497A81">
        <w:rPr>
          <w:rFonts w:ascii="Times New Roman" w:eastAsia="SimSun" w:hAnsi="Times New Roman" w:cs="Times New Roman"/>
          <w:iCs/>
          <w:sz w:val="24"/>
          <w:szCs w:val="24"/>
          <w:lang w:val="en-GB" w:eastAsia="zh-CN"/>
        </w:rPr>
        <w:t xml:space="preserve"> </w:t>
      </w:r>
      <w:r w:rsidRPr="00497A81">
        <w:rPr>
          <w:rFonts w:ascii="Times New Roman" w:eastAsia="SimSun" w:hAnsi="Times New Roman" w:cs="Times New Roman"/>
          <w:iCs/>
          <w:sz w:val="24"/>
          <w:szCs w:val="24"/>
          <w:lang w:val="en-GB" w:eastAsia="zh-CN"/>
        </w:rPr>
        <w:t xml:space="preserve">the conceptual connection between consumer and investor. In this way, the normative incoherence between investor supremacy in firms and the overall value standard in market analysis is avoided. If the connection is not rejected, the </w:t>
      </w:r>
      <w:r w:rsidR="00B83653">
        <w:rPr>
          <w:rFonts w:ascii="Times New Roman" w:eastAsia="SimSun" w:hAnsi="Times New Roman" w:cs="Times New Roman"/>
          <w:iCs/>
          <w:sz w:val="24"/>
          <w:szCs w:val="24"/>
          <w:lang w:val="en-GB" w:eastAsia="zh-CN"/>
        </w:rPr>
        <w:t xml:space="preserve">remaining </w:t>
      </w:r>
      <w:r w:rsidRPr="00497A81">
        <w:rPr>
          <w:rFonts w:ascii="Times New Roman" w:eastAsia="SimSun" w:hAnsi="Times New Roman" w:cs="Times New Roman"/>
          <w:iCs/>
          <w:sz w:val="24"/>
          <w:szCs w:val="24"/>
          <w:lang w:val="en-GB" w:eastAsia="zh-CN"/>
        </w:rPr>
        <w:t>three alternative</w:t>
      </w:r>
      <w:r w:rsidR="00B83653">
        <w:rPr>
          <w:rFonts w:ascii="Times New Roman" w:eastAsia="SimSun" w:hAnsi="Times New Roman" w:cs="Times New Roman"/>
          <w:iCs/>
          <w:sz w:val="24"/>
          <w:szCs w:val="24"/>
          <w:lang w:val="en-GB" w:eastAsia="zh-CN"/>
        </w:rPr>
        <w:t>s</w:t>
      </w:r>
      <w:r w:rsidRPr="00497A81">
        <w:rPr>
          <w:rFonts w:ascii="Times New Roman" w:eastAsia="SimSun" w:hAnsi="Times New Roman" w:cs="Times New Roman"/>
          <w:iCs/>
          <w:sz w:val="24"/>
          <w:szCs w:val="24"/>
          <w:lang w:val="en-GB" w:eastAsia="zh-CN"/>
        </w:rPr>
        <w:t xml:space="preserve"> are indeed far reaching: </w:t>
      </w:r>
      <w:r w:rsidR="00B83653">
        <w:rPr>
          <w:rFonts w:ascii="Times New Roman" w:eastAsia="SimSun" w:hAnsi="Times New Roman" w:cs="Times New Roman"/>
          <w:iCs/>
          <w:sz w:val="24"/>
          <w:szCs w:val="24"/>
          <w:lang w:val="en-GB" w:eastAsia="zh-CN"/>
        </w:rPr>
        <w:t xml:space="preserve">one alternative is </w:t>
      </w:r>
      <w:r w:rsidRPr="00497A81">
        <w:rPr>
          <w:rFonts w:ascii="Times New Roman" w:eastAsia="SimSun" w:hAnsi="Times New Roman" w:cs="Times New Roman"/>
          <w:iCs/>
          <w:sz w:val="24"/>
          <w:szCs w:val="24"/>
          <w:lang w:val="en-GB" w:eastAsia="zh-CN"/>
        </w:rPr>
        <w:t>accepting overall value also in firm analysis</w:t>
      </w:r>
      <w:r w:rsidR="00B83653">
        <w:rPr>
          <w:rFonts w:ascii="Times New Roman" w:eastAsia="SimSun" w:hAnsi="Times New Roman" w:cs="Times New Roman"/>
          <w:iCs/>
          <w:sz w:val="24"/>
          <w:szCs w:val="24"/>
          <w:lang w:val="en-GB" w:eastAsia="zh-CN"/>
        </w:rPr>
        <w:t>, another is accepting</w:t>
      </w:r>
      <w:r w:rsidRPr="00497A81">
        <w:rPr>
          <w:rFonts w:ascii="Times New Roman" w:eastAsia="SimSun" w:hAnsi="Times New Roman" w:cs="Times New Roman"/>
          <w:iCs/>
          <w:sz w:val="24"/>
          <w:szCs w:val="24"/>
          <w:lang w:val="en-GB" w:eastAsia="zh-CN"/>
        </w:rPr>
        <w:t xml:space="preserve"> consumer value </w:t>
      </w:r>
      <w:r w:rsidR="00B83653">
        <w:rPr>
          <w:rFonts w:ascii="Times New Roman" w:eastAsia="SimSun" w:hAnsi="Times New Roman" w:cs="Times New Roman"/>
          <w:iCs/>
          <w:sz w:val="24"/>
          <w:szCs w:val="24"/>
          <w:lang w:val="en-GB" w:eastAsia="zh-CN"/>
        </w:rPr>
        <w:t xml:space="preserve">also </w:t>
      </w:r>
      <w:r w:rsidRPr="00497A81">
        <w:rPr>
          <w:rFonts w:ascii="Times New Roman" w:eastAsia="SimSun" w:hAnsi="Times New Roman" w:cs="Times New Roman"/>
          <w:iCs/>
          <w:sz w:val="24"/>
          <w:szCs w:val="24"/>
          <w:lang w:val="en-GB" w:eastAsia="zh-CN"/>
        </w:rPr>
        <w:t>in market analysis,</w:t>
      </w:r>
      <w:r w:rsidR="00B83653">
        <w:rPr>
          <w:rFonts w:ascii="Times New Roman" w:eastAsia="SimSun" w:hAnsi="Times New Roman" w:cs="Times New Roman"/>
          <w:iCs/>
          <w:sz w:val="24"/>
          <w:szCs w:val="24"/>
          <w:lang w:val="en-GB" w:eastAsia="zh-CN"/>
        </w:rPr>
        <w:t xml:space="preserve"> while the last alternative is</w:t>
      </w:r>
      <w:r w:rsidRPr="00497A81">
        <w:rPr>
          <w:rFonts w:ascii="Times New Roman" w:eastAsia="SimSun" w:hAnsi="Times New Roman" w:cs="Times New Roman"/>
          <w:iCs/>
          <w:sz w:val="24"/>
          <w:szCs w:val="24"/>
          <w:lang w:val="en-GB" w:eastAsia="zh-CN"/>
        </w:rPr>
        <w:t xml:space="preserve"> accepting </w:t>
      </w:r>
      <w:r w:rsidR="00B83653">
        <w:rPr>
          <w:rFonts w:ascii="Times New Roman" w:eastAsia="SimSun" w:hAnsi="Times New Roman" w:cs="Times New Roman"/>
          <w:iCs/>
          <w:sz w:val="24"/>
          <w:szCs w:val="24"/>
          <w:lang w:val="en-GB" w:eastAsia="zh-CN"/>
        </w:rPr>
        <w:t xml:space="preserve">and ignore </w:t>
      </w:r>
      <w:r w:rsidRPr="00497A81">
        <w:rPr>
          <w:rFonts w:ascii="Times New Roman" w:eastAsia="SimSun" w:hAnsi="Times New Roman" w:cs="Times New Roman"/>
          <w:iCs/>
          <w:sz w:val="24"/>
          <w:szCs w:val="24"/>
          <w:lang w:val="en-GB" w:eastAsia="zh-CN"/>
        </w:rPr>
        <w:t>the incoherence in the theory.</w:t>
      </w:r>
    </w:p>
    <w:p w14:paraId="2B2F4A4B" w14:textId="77777777" w:rsidR="002E0DAD" w:rsidRPr="00497A81" w:rsidRDefault="002E0DAD" w:rsidP="000350BB">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p>
    <w:p w14:paraId="51D03FEF" w14:textId="4BEC227D" w:rsidR="00C21E66" w:rsidRPr="00497A81" w:rsidRDefault="002C3E55" w:rsidP="00C21E66">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d</w:t>
      </w:r>
      <w:r w:rsidR="001D5DD6" w:rsidRPr="00497A81">
        <w:rPr>
          <w:rFonts w:ascii="Times New Roman" w:eastAsia="Times New Roman" w:hAnsi="Times New Roman" w:cs="Times New Roman"/>
          <w:color w:val="000000"/>
          <w:sz w:val="24"/>
          <w:szCs w:val="24"/>
          <w:shd w:val="clear" w:color="auto" w:fill="FFFFFF"/>
          <w:lang w:val="en-GB" w:eastAsia="de-DE"/>
        </w:rPr>
        <w:t xml:space="preserve">) </w:t>
      </w:r>
      <w:r w:rsidR="000350BB" w:rsidRPr="00497A81">
        <w:rPr>
          <w:rFonts w:ascii="Times New Roman" w:eastAsia="Times New Roman" w:hAnsi="Times New Roman" w:cs="Times New Roman"/>
          <w:color w:val="000000"/>
          <w:sz w:val="24"/>
          <w:szCs w:val="24"/>
          <w:shd w:val="clear" w:color="auto" w:fill="FFFFFF"/>
          <w:lang w:val="en-GB" w:eastAsia="de-DE"/>
        </w:rPr>
        <w:t>Before, in our second step of investigation, we take up the main reform measures in financial services and assess them from the perspective of client/consumer sovereignty</w:t>
      </w:r>
      <w:r w:rsidR="00C476E4" w:rsidRPr="00497A81">
        <w:rPr>
          <w:rFonts w:ascii="Times New Roman" w:eastAsia="Times New Roman" w:hAnsi="Times New Roman" w:cs="Times New Roman"/>
          <w:color w:val="000000"/>
          <w:sz w:val="24"/>
          <w:szCs w:val="24"/>
          <w:shd w:val="clear" w:color="auto" w:fill="FFFFFF"/>
          <w:lang w:val="en-GB" w:eastAsia="de-DE"/>
        </w:rPr>
        <w:t xml:space="preserve"> by analysing them within a principal-multi agent framework</w:t>
      </w:r>
      <w:r w:rsidR="008B3D73" w:rsidRPr="00497A81">
        <w:rPr>
          <w:rFonts w:ascii="Times New Roman" w:eastAsia="Times New Roman" w:hAnsi="Times New Roman" w:cs="Times New Roman"/>
          <w:color w:val="000000"/>
          <w:sz w:val="24"/>
          <w:szCs w:val="24"/>
          <w:shd w:val="clear" w:color="auto" w:fill="FFFFFF"/>
          <w:lang w:val="en-GB" w:eastAsia="de-DE"/>
        </w:rPr>
        <w:t xml:space="preserve"> (see below sections </w:t>
      </w:r>
      <w:r w:rsidR="008B3D73" w:rsidRPr="00DA09BA">
        <w:rPr>
          <w:rFonts w:ascii="Times New Roman" w:eastAsia="Times New Roman" w:hAnsi="Times New Roman" w:cs="Times New Roman"/>
          <w:color w:val="000000"/>
          <w:sz w:val="24"/>
          <w:szCs w:val="24"/>
          <w:shd w:val="clear" w:color="auto" w:fill="FFFFFF"/>
          <w:lang w:val="en-GB" w:eastAsia="de-DE"/>
        </w:rPr>
        <w:t>III.-V</w:t>
      </w:r>
      <w:r w:rsidR="00DE55A7" w:rsidRPr="00DE55A7">
        <w:rPr>
          <w:rFonts w:ascii="Times New Roman" w:eastAsia="Times New Roman" w:hAnsi="Times New Roman" w:cs="Times New Roman"/>
          <w:color w:val="000000"/>
          <w:sz w:val="24"/>
          <w:szCs w:val="24"/>
          <w:shd w:val="clear" w:color="auto" w:fill="FFFFFF"/>
          <w:lang w:val="en-GB" w:eastAsia="de-DE"/>
        </w:rPr>
        <w:t>I</w:t>
      </w:r>
      <w:r w:rsidR="008B3D73" w:rsidRPr="00DA09BA">
        <w:rPr>
          <w:rFonts w:ascii="Times New Roman" w:eastAsia="Times New Roman" w:hAnsi="Times New Roman" w:cs="Times New Roman"/>
          <w:color w:val="000000"/>
          <w:sz w:val="24"/>
          <w:szCs w:val="24"/>
          <w:shd w:val="clear" w:color="auto" w:fill="FFFFFF"/>
          <w:lang w:val="en-GB" w:eastAsia="de-DE"/>
        </w:rPr>
        <w:t>.</w:t>
      </w:r>
      <w:r w:rsidR="008B3D73" w:rsidRPr="00497A81">
        <w:rPr>
          <w:rFonts w:ascii="Times New Roman" w:eastAsia="Times New Roman" w:hAnsi="Times New Roman" w:cs="Times New Roman"/>
          <w:color w:val="000000"/>
          <w:sz w:val="24"/>
          <w:szCs w:val="24"/>
          <w:shd w:val="clear" w:color="auto" w:fill="FFFFFF"/>
          <w:lang w:val="en-GB" w:eastAsia="de-DE"/>
        </w:rPr>
        <w:t>)</w:t>
      </w:r>
      <w:r w:rsidR="000350BB" w:rsidRPr="00497A81">
        <w:rPr>
          <w:rFonts w:ascii="Times New Roman" w:eastAsia="Times New Roman" w:hAnsi="Times New Roman" w:cs="Times New Roman"/>
          <w:color w:val="000000"/>
          <w:sz w:val="24"/>
          <w:szCs w:val="24"/>
          <w:shd w:val="clear" w:color="auto" w:fill="FFFFFF"/>
          <w:lang w:val="en-GB" w:eastAsia="de-DE"/>
        </w:rPr>
        <w:t xml:space="preserve">, a word of caution is </w:t>
      </w:r>
      <w:r w:rsidR="00431D43" w:rsidRPr="00497A81">
        <w:rPr>
          <w:rFonts w:ascii="Times New Roman" w:eastAsia="Times New Roman" w:hAnsi="Times New Roman" w:cs="Times New Roman"/>
          <w:color w:val="000000"/>
          <w:sz w:val="24"/>
          <w:szCs w:val="24"/>
          <w:shd w:val="clear" w:color="auto" w:fill="FFFFFF"/>
          <w:lang w:val="en-GB" w:eastAsia="de-DE"/>
        </w:rPr>
        <w:t>still required</w:t>
      </w:r>
      <w:r w:rsidR="000350BB" w:rsidRPr="00497A81">
        <w:rPr>
          <w:rFonts w:ascii="Times New Roman" w:eastAsia="Times New Roman" w:hAnsi="Times New Roman" w:cs="Times New Roman"/>
          <w:color w:val="000000"/>
          <w:sz w:val="24"/>
          <w:szCs w:val="24"/>
          <w:shd w:val="clear" w:color="auto" w:fill="FFFFFF"/>
          <w:lang w:val="en-GB" w:eastAsia="de-DE"/>
        </w:rPr>
        <w:t xml:space="preserve">. It is </w:t>
      </w:r>
      <w:r w:rsidR="008B3D73" w:rsidRPr="00497A81">
        <w:rPr>
          <w:rFonts w:ascii="Times New Roman" w:eastAsia="Times New Roman" w:hAnsi="Times New Roman" w:cs="Times New Roman"/>
          <w:color w:val="000000"/>
          <w:sz w:val="24"/>
          <w:szCs w:val="24"/>
          <w:shd w:val="clear" w:color="auto" w:fill="FFFFFF"/>
          <w:lang w:val="en-GB" w:eastAsia="de-DE"/>
        </w:rPr>
        <w:t xml:space="preserve">about </w:t>
      </w:r>
      <w:r w:rsidR="001D5DD6" w:rsidRPr="00497A81">
        <w:rPr>
          <w:rFonts w:ascii="Times New Roman" w:eastAsia="Times New Roman" w:hAnsi="Times New Roman" w:cs="Times New Roman"/>
          <w:i/>
          <w:color w:val="000000"/>
          <w:sz w:val="24"/>
          <w:szCs w:val="24"/>
          <w:shd w:val="clear" w:color="auto" w:fill="FFFFFF"/>
          <w:lang w:val="en-GB" w:eastAsia="de-DE"/>
        </w:rPr>
        <w:t xml:space="preserve">three </w:t>
      </w:r>
      <w:r w:rsidR="008B3D73" w:rsidRPr="00497A81">
        <w:rPr>
          <w:rFonts w:ascii="Times New Roman" w:eastAsia="Times New Roman" w:hAnsi="Times New Roman" w:cs="Times New Roman"/>
          <w:i/>
          <w:color w:val="000000"/>
          <w:sz w:val="24"/>
          <w:szCs w:val="24"/>
          <w:shd w:val="clear" w:color="auto" w:fill="FFFFFF"/>
          <w:lang w:val="en-GB" w:eastAsia="de-DE"/>
        </w:rPr>
        <w:t>qualifications</w:t>
      </w:r>
      <w:r w:rsidR="008B3D73" w:rsidRPr="00497A81">
        <w:rPr>
          <w:rFonts w:ascii="Times New Roman" w:eastAsia="Times New Roman" w:hAnsi="Times New Roman" w:cs="Times New Roman"/>
          <w:color w:val="000000"/>
          <w:sz w:val="24"/>
          <w:szCs w:val="24"/>
          <w:shd w:val="clear" w:color="auto" w:fill="FFFFFF"/>
          <w:lang w:val="en-GB" w:eastAsia="de-DE"/>
        </w:rPr>
        <w:t xml:space="preserve"> on</w:t>
      </w:r>
      <w:r w:rsidR="000350BB" w:rsidRPr="00497A81">
        <w:rPr>
          <w:rFonts w:ascii="Times New Roman" w:eastAsia="Times New Roman" w:hAnsi="Times New Roman" w:cs="Times New Roman"/>
          <w:color w:val="000000"/>
          <w:sz w:val="24"/>
          <w:szCs w:val="24"/>
          <w:shd w:val="clear" w:color="auto" w:fill="FFFFFF"/>
          <w:lang w:val="en-GB" w:eastAsia="de-DE"/>
        </w:rPr>
        <w:t xml:space="preserve"> how far the paradigm of client/consumer welfare as the ultimate goal should reach. </w:t>
      </w:r>
      <w:r w:rsidR="001D5DD6" w:rsidRPr="00497A81">
        <w:rPr>
          <w:rFonts w:ascii="Times New Roman" w:eastAsia="Times New Roman" w:hAnsi="Times New Roman" w:cs="Times New Roman"/>
          <w:color w:val="000000"/>
          <w:sz w:val="24"/>
          <w:szCs w:val="24"/>
          <w:shd w:val="clear" w:color="auto" w:fill="FFFFFF"/>
          <w:lang w:val="en-GB" w:eastAsia="de-DE"/>
        </w:rPr>
        <w:t xml:space="preserve">Three </w:t>
      </w:r>
      <w:r w:rsidR="000350BB" w:rsidRPr="00497A81">
        <w:rPr>
          <w:rFonts w:ascii="Times New Roman" w:eastAsia="Times New Roman" w:hAnsi="Times New Roman" w:cs="Times New Roman"/>
          <w:color w:val="000000"/>
          <w:sz w:val="24"/>
          <w:szCs w:val="24"/>
          <w:shd w:val="clear" w:color="auto" w:fill="FFFFFF"/>
          <w:lang w:val="en-GB" w:eastAsia="de-DE"/>
        </w:rPr>
        <w:t xml:space="preserve">potential misunderstandings </w:t>
      </w:r>
      <w:r w:rsidR="008B3D73" w:rsidRPr="00497A81">
        <w:rPr>
          <w:rFonts w:ascii="Times New Roman" w:eastAsia="Times New Roman" w:hAnsi="Times New Roman" w:cs="Times New Roman"/>
          <w:color w:val="000000"/>
          <w:sz w:val="24"/>
          <w:szCs w:val="24"/>
          <w:shd w:val="clear" w:color="auto" w:fill="FFFFFF"/>
          <w:lang w:val="en-GB" w:eastAsia="de-DE"/>
        </w:rPr>
        <w:t xml:space="preserve">have to </w:t>
      </w:r>
      <w:r w:rsidR="000350BB" w:rsidRPr="00497A81">
        <w:rPr>
          <w:rFonts w:ascii="Times New Roman" w:eastAsia="Times New Roman" w:hAnsi="Times New Roman" w:cs="Times New Roman"/>
          <w:color w:val="000000"/>
          <w:sz w:val="24"/>
          <w:szCs w:val="24"/>
          <w:shd w:val="clear" w:color="auto" w:fill="FFFFFF"/>
          <w:lang w:val="en-GB" w:eastAsia="de-DE"/>
        </w:rPr>
        <w:t xml:space="preserve">be </w:t>
      </w:r>
      <w:r w:rsidR="008B3D73" w:rsidRPr="00497A81">
        <w:rPr>
          <w:rFonts w:ascii="Times New Roman" w:eastAsia="Times New Roman" w:hAnsi="Times New Roman" w:cs="Times New Roman"/>
          <w:color w:val="000000"/>
          <w:sz w:val="24"/>
          <w:szCs w:val="24"/>
          <w:shd w:val="clear" w:color="auto" w:fill="FFFFFF"/>
          <w:lang w:val="en-GB" w:eastAsia="de-DE"/>
        </w:rPr>
        <w:t xml:space="preserve">addressed: </w:t>
      </w:r>
      <w:r w:rsidR="00C21E66" w:rsidRPr="00497A81">
        <w:rPr>
          <w:rFonts w:ascii="Times New Roman" w:eastAsia="Times New Roman" w:hAnsi="Times New Roman" w:cs="Times New Roman"/>
          <w:color w:val="000000"/>
          <w:sz w:val="24"/>
          <w:szCs w:val="24"/>
          <w:shd w:val="clear" w:color="auto" w:fill="FFFFFF"/>
          <w:lang w:val="en-GB" w:eastAsia="de-DE"/>
        </w:rPr>
        <w:t>The first is about the role of negotiations. The explana</w:t>
      </w:r>
      <w:r w:rsidR="008B3D73" w:rsidRPr="00497A81">
        <w:rPr>
          <w:rFonts w:ascii="Times New Roman" w:eastAsia="Times New Roman" w:hAnsi="Times New Roman" w:cs="Times New Roman"/>
          <w:color w:val="000000"/>
          <w:sz w:val="24"/>
          <w:szCs w:val="24"/>
          <w:shd w:val="clear" w:color="auto" w:fill="FFFFFF"/>
          <w:lang w:val="en-GB" w:eastAsia="de-DE"/>
        </w:rPr>
        <w:t>tions made so far do in principle</w:t>
      </w:r>
      <w:r w:rsidR="00C21E66" w:rsidRPr="00497A81">
        <w:rPr>
          <w:rFonts w:ascii="Times New Roman" w:eastAsia="Times New Roman" w:hAnsi="Times New Roman" w:cs="Times New Roman"/>
          <w:color w:val="000000"/>
          <w:sz w:val="24"/>
          <w:szCs w:val="24"/>
          <w:shd w:val="clear" w:color="auto" w:fill="FFFFFF"/>
          <w:lang w:val="en-GB" w:eastAsia="de-DE"/>
        </w:rPr>
        <w:t xml:space="preserve"> not limit the role of negotiati</w:t>
      </w:r>
      <w:r w:rsidR="008B3D73" w:rsidRPr="00497A81">
        <w:rPr>
          <w:rFonts w:ascii="Times New Roman" w:eastAsia="Times New Roman" w:hAnsi="Times New Roman" w:cs="Times New Roman"/>
          <w:color w:val="000000"/>
          <w:sz w:val="24"/>
          <w:szCs w:val="24"/>
          <w:shd w:val="clear" w:color="auto" w:fill="FFFFFF"/>
          <w:lang w:val="en-GB" w:eastAsia="de-DE"/>
        </w:rPr>
        <w:t>on: W</w:t>
      </w:r>
      <w:r w:rsidR="00C21E66" w:rsidRPr="00497A81">
        <w:rPr>
          <w:rFonts w:ascii="Times New Roman" w:eastAsia="Times New Roman" w:hAnsi="Times New Roman" w:cs="Times New Roman"/>
          <w:color w:val="000000"/>
          <w:sz w:val="24"/>
          <w:szCs w:val="24"/>
          <w:shd w:val="clear" w:color="auto" w:fill="FFFFFF"/>
          <w:lang w:val="en-GB" w:eastAsia="de-DE"/>
        </w:rPr>
        <w:t>hen fixing interest rates for loans, banks do not need to charge the lowest possible rates</w:t>
      </w:r>
      <w:r w:rsidR="00D10186" w:rsidRPr="00497A81">
        <w:rPr>
          <w:rFonts w:ascii="Times New Roman" w:eastAsia="Times New Roman" w:hAnsi="Times New Roman" w:cs="Times New Roman"/>
          <w:color w:val="000000"/>
          <w:sz w:val="24"/>
          <w:szCs w:val="24"/>
          <w:shd w:val="clear" w:color="auto" w:fill="FFFFFF"/>
          <w:lang w:val="en-GB" w:eastAsia="de-DE"/>
        </w:rPr>
        <w:t xml:space="preserve"> – that is, they do not have the legal duty to minimize the interest rate in order to maximize consumer welfare</w:t>
      </w:r>
      <w:r w:rsidR="00C21E66" w:rsidRPr="00497A81">
        <w:rPr>
          <w:rFonts w:ascii="Times New Roman" w:eastAsia="Times New Roman" w:hAnsi="Times New Roman" w:cs="Times New Roman"/>
          <w:color w:val="000000"/>
          <w:sz w:val="24"/>
          <w:szCs w:val="24"/>
          <w:shd w:val="clear" w:color="auto" w:fill="FFFFFF"/>
          <w:lang w:val="en-GB" w:eastAsia="de-DE"/>
        </w:rPr>
        <w:t xml:space="preserve">. </w:t>
      </w:r>
      <w:r w:rsidR="008B3D73" w:rsidRPr="00497A81">
        <w:rPr>
          <w:rFonts w:ascii="Times New Roman" w:eastAsia="Times New Roman" w:hAnsi="Times New Roman" w:cs="Times New Roman"/>
          <w:color w:val="000000"/>
          <w:sz w:val="24"/>
          <w:szCs w:val="24"/>
          <w:shd w:val="clear" w:color="auto" w:fill="FFFFFF"/>
          <w:lang w:val="en-GB" w:eastAsia="de-DE"/>
        </w:rPr>
        <w:t>Limiting the amount of interest rates charged (or the burden stemming from other conditions)</w:t>
      </w:r>
      <w:r w:rsidR="00C21E66" w:rsidRPr="00497A81">
        <w:rPr>
          <w:rFonts w:ascii="Times New Roman" w:eastAsia="Times New Roman" w:hAnsi="Times New Roman" w:cs="Times New Roman"/>
          <w:color w:val="000000"/>
          <w:sz w:val="24"/>
          <w:szCs w:val="24"/>
          <w:shd w:val="clear" w:color="auto" w:fill="FFFFFF"/>
          <w:lang w:val="en-GB" w:eastAsia="de-DE"/>
        </w:rPr>
        <w:t xml:space="preserve"> is the task of </w:t>
      </w:r>
      <w:r w:rsidR="00111E99" w:rsidRPr="00497A81">
        <w:rPr>
          <w:rFonts w:ascii="Times New Roman" w:eastAsia="Times New Roman" w:hAnsi="Times New Roman" w:cs="Times New Roman"/>
          <w:color w:val="000000"/>
          <w:sz w:val="24"/>
          <w:szCs w:val="24"/>
          <w:shd w:val="clear" w:color="auto" w:fill="FFFFFF"/>
          <w:lang w:val="en-GB" w:eastAsia="de-DE"/>
        </w:rPr>
        <w:t>well-</w:t>
      </w:r>
      <w:r w:rsidR="00C21E66" w:rsidRPr="00497A81">
        <w:rPr>
          <w:rFonts w:ascii="Times New Roman" w:eastAsia="Times New Roman" w:hAnsi="Times New Roman" w:cs="Times New Roman"/>
          <w:color w:val="000000"/>
          <w:sz w:val="24"/>
          <w:szCs w:val="24"/>
          <w:shd w:val="clear" w:color="auto" w:fill="FFFFFF"/>
          <w:lang w:val="en-GB" w:eastAsia="de-DE"/>
        </w:rPr>
        <w:t xml:space="preserve">functioning, competitive markets: Their ultimate </w:t>
      </w:r>
      <w:r w:rsidR="00D10186" w:rsidRPr="00497A81">
        <w:rPr>
          <w:rFonts w:ascii="Times New Roman" w:eastAsia="Times New Roman" w:hAnsi="Times New Roman" w:cs="Times New Roman"/>
          <w:color w:val="000000"/>
          <w:sz w:val="24"/>
          <w:szCs w:val="24"/>
          <w:shd w:val="clear" w:color="auto" w:fill="FFFFFF"/>
          <w:lang w:val="en-GB" w:eastAsia="de-DE"/>
        </w:rPr>
        <w:t xml:space="preserve">microeconomic </w:t>
      </w:r>
      <w:r w:rsidR="0084359E" w:rsidRPr="00497A81">
        <w:rPr>
          <w:rFonts w:ascii="Times New Roman" w:eastAsia="Times New Roman" w:hAnsi="Times New Roman" w:cs="Times New Roman"/>
          <w:color w:val="000000"/>
          <w:sz w:val="24"/>
          <w:szCs w:val="24"/>
          <w:shd w:val="clear" w:color="auto" w:fill="FFFFFF"/>
          <w:lang w:val="en-GB" w:eastAsia="de-DE"/>
        </w:rPr>
        <w:t xml:space="preserve">rationale </w:t>
      </w:r>
      <w:r w:rsidR="00C21E66" w:rsidRPr="00497A81">
        <w:rPr>
          <w:rFonts w:ascii="Times New Roman" w:eastAsia="Times New Roman" w:hAnsi="Times New Roman" w:cs="Times New Roman"/>
          <w:color w:val="000000"/>
          <w:sz w:val="24"/>
          <w:szCs w:val="24"/>
          <w:shd w:val="clear" w:color="auto" w:fill="FFFFFF"/>
          <w:lang w:val="en-GB" w:eastAsia="de-DE"/>
        </w:rPr>
        <w:t>is postulated to be (overall) consumer/client welfare and not overall welfare (</w:t>
      </w:r>
      <w:r w:rsidR="00333BB8" w:rsidRPr="00497A81">
        <w:rPr>
          <w:rFonts w:ascii="Times New Roman" w:eastAsia="Times New Roman" w:hAnsi="Times New Roman" w:cs="Times New Roman"/>
          <w:color w:val="000000"/>
          <w:sz w:val="24"/>
          <w:szCs w:val="24"/>
          <w:shd w:val="clear" w:color="auto" w:fill="FFFFFF"/>
          <w:lang w:val="en-GB" w:eastAsia="de-DE"/>
        </w:rPr>
        <w:t>the latter would include</w:t>
      </w:r>
      <w:r w:rsidR="00C21E66" w:rsidRPr="00497A81">
        <w:rPr>
          <w:rFonts w:ascii="Times New Roman" w:eastAsia="Times New Roman" w:hAnsi="Times New Roman" w:cs="Times New Roman"/>
          <w:color w:val="000000"/>
          <w:sz w:val="24"/>
          <w:szCs w:val="24"/>
          <w:shd w:val="clear" w:color="auto" w:fill="FFFFFF"/>
          <w:lang w:val="en-GB" w:eastAsia="de-DE"/>
        </w:rPr>
        <w:t xml:space="preserve"> the benefit both of consumers/clients </w:t>
      </w:r>
      <w:r w:rsidR="00C21E66" w:rsidRPr="00497A81">
        <w:rPr>
          <w:rFonts w:ascii="Times New Roman" w:eastAsia="Times New Roman" w:hAnsi="Times New Roman" w:cs="Times New Roman"/>
          <w:i/>
          <w:color w:val="000000"/>
          <w:sz w:val="24"/>
          <w:szCs w:val="24"/>
          <w:shd w:val="clear" w:color="auto" w:fill="FFFFFF"/>
          <w:lang w:val="en-GB" w:eastAsia="de-DE"/>
        </w:rPr>
        <w:t>and</w:t>
      </w:r>
      <w:r w:rsidR="00C21E66" w:rsidRPr="00497A81">
        <w:rPr>
          <w:rFonts w:ascii="Times New Roman" w:eastAsia="Times New Roman" w:hAnsi="Times New Roman" w:cs="Times New Roman"/>
          <w:color w:val="000000"/>
          <w:sz w:val="24"/>
          <w:szCs w:val="24"/>
          <w:shd w:val="clear" w:color="auto" w:fill="FFFFFF"/>
          <w:lang w:val="en-GB" w:eastAsia="de-DE"/>
        </w:rPr>
        <w:t xml:space="preserve"> of </w:t>
      </w:r>
      <w:r w:rsidR="005536AD" w:rsidRPr="00497A81">
        <w:rPr>
          <w:rFonts w:ascii="Times New Roman" w:eastAsia="Times New Roman" w:hAnsi="Times New Roman" w:cs="Times New Roman"/>
          <w:color w:val="000000"/>
          <w:sz w:val="24"/>
          <w:szCs w:val="24"/>
          <w:shd w:val="clear" w:color="auto" w:fill="FFFFFF"/>
          <w:lang w:val="en-GB" w:eastAsia="de-DE"/>
        </w:rPr>
        <w:lastRenderedPageBreak/>
        <w:t>entrepreneurs</w:t>
      </w:r>
      <w:r w:rsidR="00C21E66" w:rsidRPr="00497A81">
        <w:rPr>
          <w:rFonts w:ascii="Times New Roman" w:eastAsia="Times New Roman" w:hAnsi="Times New Roman" w:cs="Times New Roman"/>
          <w:color w:val="000000"/>
          <w:sz w:val="24"/>
          <w:szCs w:val="24"/>
          <w:shd w:val="clear" w:color="auto" w:fill="FFFFFF"/>
          <w:lang w:val="en-GB" w:eastAsia="de-DE"/>
        </w:rPr>
        <w:t xml:space="preserve">). </w:t>
      </w:r>
      <w:r w:rsidR="00B16EF3" w:rsidRPr="00497A81">
        <w:rPr>
          <w:rFonts w:ascii="Times New Roman" w:eastAsia="Times New Roman" w:hAnsi="Times New Roman" w:cs="Times New Roman"/>
          <w:color w:val="000000"/>
          <w:sz w:val="24"/>
          <w:szCs w:val="24"/>
          <w:shd w:val="clear" w:color="auto" w:fill="FFFFFF"/>
          <w:lang w:val="en-GB" w:eastAsia="de-DE"/>
        </w:rPr>
        <w:t>O</w:t>
      </w:r>
      <w:r w:rsidR="00C21E66" w:rsidRPr="00497A81">
        <w:rPr>
          <w:rFonts w:ascii="Times New Roman" w:eastAsia="Times New Roman" w:hAnsi="Times New Roman" w:cs="Times New Roman"/>
          <w:color w:val="000000"/>
          <w:sz w:val="24"/>
          <w:szCs w:val="24"/>
          <w:shd w:val="clear" w:color="auto" w:fill="FFFFFF"/>
          <w:lang w:val="en-GB" w:eastAsia="de-DE"/>
        </w:rPr>
        <w:t xml:space="preserve">utside </w:t>
      </w:r>
      <w:r w:rsidR="008B3D73" w:rsidRPr="00497A81">
        <w:rPr>
          <w:rFonts w:ascii="Times New Roman" w:eastAsia="Times New Roman" w:hAnsi="Times New Roman" w:cs="Times New Roman"/>
          <w:color w:val="000000"/>
          <w:sz w:val="24"/>
          <w:szCs w:val="24"/>
          <w:shd w:val="clear" w:color="auto" w:fill="FFFFFF"/>
          <w:lang w:val="en-GB" w:eastAsia="de-DE"/>
        </w:rPr>
        <w:t xml:space="preserve">situations of </w:t>
      </w:r>
      <w:r w:rsidR="00C21E66" w:rsidRPr="00497A81">
        <w:rPr>
          <w:rFonts w:ascii="Times New Roman" w:eastAsia="Times New Roman" w:hAnsi="Times New Roman" w:cs="Times New Roman"/>
          <w:color w:val="000000"/>
          <w:sz w:val="24"/>
          <w:szCs w:val="24"/>
          <w:shd w:val="clear" w:color="auto" w:fill="FFFFFF"/>
          <w:lang w:val="en-GB" w:eastAsia="de-DE"/>
        </w:rPr>
        <w:t>market failure</w:t>
      </w:r>
      <w:r w:rsidR="007B4635" w:rsidRPr="00497A81">
        <w:rPr>
          <w:rFonts w:ascii="Times New Roman" w:eastAsia="Times New Roman" w:hAnsi="Times New Roman" w:cs="Times New Roman"/>
          <w:color w:val="000000"/>
          <w:sz w:val="24"/>
          <w:szCs w:val="24"/>
          <w:shd w:val="clear" w:color="auto" w:fill="FFFFFF"/>
          <w:lang w:val="en-GB" w:eastAsia="de-DE"/>
        </w:rPr>
        <w:t xml:space="preserve"> (including the behavioural ones)</w:t>
      </w:r>
      <w:r w:rsidR="00B16EF3" w:rsidRPr="00497A81">
        <w:rPr>
          <w:rFonts w:ascii="Times New Roman" w:eastAsia="Times New Roman" w:hAnsi="Times New Roman" w:cs="Times New Roman"/>
          <w:color w:val="000000"/>
          <w:sz w:val="24"/>
          <w:szCs w:val="24"/>
          <w:shd w:val="clear" w:color="auto" w:fill="FFFFFF"/>
          <w:lang w:val="en-GB" w:eastAsia="de-DE"/>
        </w:rPr>
        <w:t>,</w:t>
      </w:r>
      <w:r w:rsidR="00C21E66" w:rsidRPr="00497A81">
        <w:rPr>
          <w:rFonts w:ascii="Times New Roman" w:eastAsia="Times New Roman" w:hAnsi="Times New Roman" w:cs="Times New Roman"/>
          <w:color w:val="000000"/>
          <w:sz w:val="24"/>
          <w:szCs w:val="24"/>
          <w:shd w:val="clear" w:color="auto" w:fill="FFFFFF"/>
          <w:lang w:val="en-GB" w:eastAsia="de-DE"/>
        </w:rPr>
        <w:t xml:space="preserve"> each side takes care of her interests</w:t>
      </w:r>
      <w:r w:rsidR="008B3D73" w:rsidRPr="00497A81">
        <w:rPr>
          <w:rFonts w:ascii="Times New Roman" w:eastAsia="Times New Roman" w:hAnsi="Times New Roman" w:cs="Times New Roman"/>
          <w:color w:val="000000"/>
          <w:sz w:val="24"/>
          <w:szCs w:val="24"/>
          <w:shd w:val="clear" w:color="auto" w:fill="FFFFFF"/>
          <w:lang w:val="en-GB" w:eastAsia="de-DE"/>
        </w:rPr>
        <w:t>.</w:t>
      </w:r>
      <w:r w:rsidR="00111E99" w:rsidRPr="00497A81">
        <w:rPr>
          <w:rFonts w:ascii="Times New Roman" w:eastAsia="Times New Roman" w:hAnsi="Times New Roman" w:cs="Times New Roman"/>
          <w:color w:val="000000"/>
          <w:sz w:val="24"/>
          <w:szCs w:val="24"/>
          <w:shd w:val="clear" w:color="auto" w:fill="FFFFFF"/>
          <w:lang w:val="en-GB" w:eastAsia="de-DE"/>
        </w:rPr>
        <w:t xml:space="preserve"> In fact, it falls within the institutional prerogatives of well-functioning markets to foster consumer/client welfare through competition. </w:t>
      </w:r>
      <w:r w:rsidR="008B3D73" w:rsidRPr="00497A81">
        <w:rPr>
          <w:rFonts w:ascii="Times New Roman" w:eastAsia="Times New Roman" w:hAnsi="Times New Roman" w:cs="Times New Roman"/>
          <w:color w:val="000000"/>
          <w:sz w:val="24"/>
          <w:szCs w:val="24"/>
          <w:shd w:val="clear" w:color="auto" w:fill="FFFFFF"/>
          <w:lang w:val="en-GB" w:eastAsia="de-DE"/>
        </w:rPr>
        <w:t xml:space="preserve">It is only in situations where the supplier/manager is </w:t>
      </w:r>
      <w:r w:rsidR="004103F5" w:rsidRPr="00497A81">
        <w:rPr>
          <w:rFonts w:ascii="Times New Roman" w:eastAsia="Times New Roman" w:hAnsi="Times New Roman" w:cs="Times New Roman"/>
          <w:color w:val="000000"/>
          <w:sz w:val="24"/>
          <w:szCs w:val="24"/>
          <w:shd w:val="clear" w:color="auto" w:fill="FFFFFF"/>
          <w:lang w:val="en-GB" w:eastAsia="de-DE"/>
        </w:rPr>
        <w:t>making</w:t>
      </w:r>
      <w:r w:rsidR="008B3D73" w:rsidRPr="00497A81">
        <w:rPr>
          <w:rFonts w:ascii="Times New Roman" w:eastAsia="Times New Roman" w:hAnsi="Times New Roman" w:cs="Times New Roman"/>
          <w:color w:val="000000"/>
          <w:sz w:val="24"/>
          <w:szCs w:val="24"/>
          <w:shd w:val="clear" w:color="auto" w:fill="FFFFFF"/>
          <w:lang w:val="en-GB" w:eastAsia="de-DE"/>
        </w:rPr>
        <w:t xml:space="preserve"> decision unilaterally – as an agent –</w:t>
      </w:r>
      <w:r w:rsidR="00B16EF3" w:rsidRPr="00497A81">
        <w:rPr>
          <w:rFonts w:ascii="Times New Roman" w:eastAsia="Times New Roman" w:hAnsi="Times New Roman" w:cs="Times New Roman"/>
          <w:color w:val="000000"/>
          <w:sz w:val="24"/>
          <w:szCs w:val="24"/>
          <w:shd w:val="clear" w:color="auto" w:fill="FFFFFF"/>
          <w:lang w:val="en-GB" w:eastAsia="de-DE"/>
        </w:rPr>
        <w:t xml:space="preserve"> but without adequate incentives to act in the interest of the </w:t>
      </w:r>
      <w:r w:rsidR="00AD63F3" w:rsidRPr="00497A81">
        <w:rPr>
          <w:rFonts w:ascii="Times New Roman" w:eastAsia="Times New Roman" w:hAnsi="Times New Roman" w:cs="Times New Roman"/>
          <w:color w:val="000000"/>
          <w:sz w:val="24"/>
          <w:szCs w:val="24"/>
          <w:shd w:val="clear" w:color="auto" w:fill="FFFFFF"/>
          <w:lang w:val="en-GB" w:eastAsia="de-DE"/>
        </w:rPr>
        <w:t>client</w:t>
      </w:r>
      <w:r w:rsidR="008B3D73" w:rsidRPr="00497A81">
        <w:rPr>
          <w:rFonts w:ascii="Times New Roman" w:eastAsia="Times New Roman" w:hAnsi="Times New Roman" w:cs="Times New Roman"/>
          <w:color w:val="000000"/>
          <w:sz w:val="24"/>
          <w:szCs w:val="24"/>
          <w:shd w:val="clear" w:color="auto" w:fill="FFFFFF"/>
          <w:lang w:val="en-GB" w:eastAsia="de-DE"/>
        </w:rPr>
        <w:t>/</w:t>
      </w:r>
      <w:r w:rsidR="00AD63F3" w:rsidRPr="00497A81">
        <w:rPr>
          <w:rFonts w:ascii="Times New Roman" w:eastAsia="Times New Roman" w:hAnsi="Times New Roman" w:cs="Times New Roman"/>
          <w:color w:val="000000"/>
          <w:sz w:val="24"/>
          <w:szCs w:val="24"/>
          <w:shd w:val="clear" w:color="auto" w:fill="FFFFFF"/>
          <w:lang w:val="en-GB" w:eastAsia="de-DE"/>
        </w:rPr>
        <w:t xml:space="preserve">consumer/shareholder/investor </w:t>
      </w:r>
      <w:r w:rsidR="00B16EF3" w:rsidRPr="00497A81">
        <w:rPr>
          <w:rFonts w:ascii="Times New Roman" w:eastAsia="Times New Roman" w:hAnsi="Times New Roman" w:cs="Times New Roman"/>
          <w:color w:val="000000"/>
          <w:sz w:val="24"/>
          <w:szCs w:val="24"/>
          <w:shd w:val="clear" w:color="auto" w:fill="FFFFFF"/>
          <w:lang w:val="en-GB" w:eastAsia="de-DE"/>
        </w:rPr>
        <w:t xml:space="preserve">that the welfare of the latter </w:t>
      </w:r>
      <w:r w:rsidR="008B3D73" w:rsidRPr="00497A81">
        <w:rPr>
          <w:rFonts w:ascii="Times New Roman" w:eastAsia="Times New Roman" w:hAnsi="Times New Roman" w:cs="Times New Roman"/>
          <w:color w:val="000000"/>
          <w:sz w:val="24"/>
          <w:szCs w:val="24"/>
          <w:shd w:val="clear" w:color="auto" w:fill="FFFFFF"/>
          <w:lang w:val="en-GB" w:eastAsia="de-DE"/>
        </w:rPr>
        <w:t xml:space="preserve">serves as </w:t>
      </w:r>
      <w:r w:rsidR="004C3659" w:rsidRPr="00497A81">
        <w:rPr>
          <w:rFonts w:ascii="Times New Roman" w:eastAsia="Times New Roman" w:hAnsi="Times New Roman" w:cs="Times New Roman"/>
          <w:color w:val="000000"/>
          <w:sz w:val="24"/>
          <w:szCs w:val="24"/>
          <w:shd w:val="clear" w:color="auto" w:fill="FFFFFF"/>
          <w:lang w:val="en-GB" w:eastAsia="de-DE"/>
        </w:rPr>
        <w:t xml:space="preserve">the </w:t>
      </w:r>
      <w:r w:rsidR="00B16EF3" w:rsidRPr="00497A81">
        <w:rPr>
          <w:rFonts w:ascii="Times New Roman" w:eastAsia="Times New Roman" w:hAnsi="Times New Roman" w:cs="Times New Roman"/>
          <w:color w:val="000000"/>
          <w:sz w:val="24"/>
          <w:szCs w:val="24"/>
          <w:shd w:val="clear" w:color="auto" w:fill="FFFFFF"/>
          <w:lang w:val="en-GB" w:eastAsia="de-DE"/>
        </w:rPr>
        <w:t xml:space="preserve">normative </w:t>
      </w:r>
      <w:r w:rsidR="008B3D73" w:rsidRPr="00497A81">
        <w:rPr>
          <w:rFonts w:ascii="Times New Roman" w:eastAsia="Times New Roman" w:hAnsi="Times New Roman" w:cs="Times New Roman"/>
          <w:color w:val="000000"/>
          <w:sz w:val="24"/>
          <w:szCs w:val="24"/>
          <w:shd w:val="clear" w:color="auto" w:fill="FFFFFF"/>
          <w:lang w:val="en-GB" w:eastAsia="de-DE"/>
        </w:rPr>
        <w:t>guideline</w:t>
      </w:r>
      <w:r w:rsidR="00111E99" w:rsidRPr="00497A81">
        <w:rPr>
          <w:rFonts w:ascii="Times New Roman" w:eastAsia="Times New Roman" w:hAnsi="Times New Roman" w:cs="Times New Roman"/>
          <w:color w:val="000000"/>
          <w:sz w:val="24"/>
          <w:szCs w:val="24"/>
          <w:shd w:val="clear" w:color="auto" w:fill="FFFFFF"/>
          <w:lang w:val="en-GB" w:eastAsia="de-DE"/>
        </w:rPr>
        <w:t xml:space="preserve"> for </w:t>
      </w:r>
      <w:r w:rsidR="007B4635" w:rsidRPr="00497A81">
        <w:rPr>
          <w:rFonts w:ascii="Times New Roman" w:eastAsia="Times New Roman" w:hAnsi="Times New Roman" w:cs="Times New Roman"/>
          <w:color w:val="000000"/>
          <w:sz w:val="24"/>
          <w:szCs w:val="24"/>
          <w:shd w:val="clear" w:color="auto" w:fill="FFFFFF"/>
          <w:lang w:val="en-GB" w:eastAsia="de-DE"/>
        </w:rPr>
        <w:t>market behaviour regulation</w:t>
      </w:r>
      <w:r w:rsidR="008B3D73" w:rsidRPr="00497A81">
        <w:rPr>
          <w:rFonts w:ascii="Times New Roman" w:eastAsia="Times New Roman" w:hAnsi="Times New Roman" w:cs="Times New Roman"/>
          <w:color w:val="000000"/>
          <w:sz w:val="24"/>
          <w:szCs w:val="24"/>
          <w:shd w:val="clear" w:color="auto" w:fill="FFFFFF"/>
          <w:lang w:val="en-GB" w:eastAsia="de-DE"/>
        </w:rPr>
        <w:t>.</w:t>
      </w:r>
      <w:r w:rsidR="00D10186" w:rsidRPr="00497A81">
        <w:rPr>
          <w:rFonts w:ascii="Times New Roman" w:eastAsia="Times New Roman" w:hAnsi="Times New Roman" w:cs="Times New Roman"/>
          <w:color w:val="000000"/>
          <w:sz w:val="24"/>
          <w:szCs w:val="24"/>
          <w:shd w:val="clear" w:color="auto" w:fill="FFFFFF"/>
          <w:lang w:val="en-GB" w:eastAsia="de-DE"/>
        </w:rPr>
        <w:t xml:space="preserve"> In synthesis, we do not argue that legal intervention has to substitute the market mechanism, it has to support it. So far, then, our view is conceptually entirely consistent the mainstream position at the prescriptive level.</w:t>
      </w:r>
    </w:p>
    <w:p w14:paraId="4E7577B6" w14:textId="5FFE2671" w:rsidR="001D5DD6" w:rsidRPr="00497A81" w:rsidRDefault="00C21E66" w:rsidP="006B07E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 xml:space="preserve">The second </w:t>
      </w:r>
      <w:r w:rsidR="008B3D73" w:rsidRPr="00497A81">
        <w:rPr>
          <w:rFonts w:ascii="Times New Roman" w:eastAsia="Times New Roman" w:hAnsi="Times New Roman" w:cs="Times New Roman"/>
          <w:color w:val="000000"/>
          <w:sz w:val="24"/>
          <w:szCs w:val="24"/>
          <w:shd w:val="clear" w:color="auto" w:fill="FFFFFF"/>
          <w:lang w:val="en-GB" w:eastAsia="de-DE"/>
        </w:rPr>
        <w:t>qualification is about</w:t>
      </w:r>
      <w:r w:rsidR="00592D7A" w:rsidRPr="00497A81">
        <w:rPr>
          <w:rFonts w:ascii="Times New Roman" w:eastAsia="Times New Roman" w:hAnsi="Times New Roman" w:cs="Times New Roman"/>
          <w:color w:val="000000"/>
          <w:sz w:val="24"/>
          <w:szCs w:val="24"/>
          <w:shd w:val="clear" w:color="auto" w:fill="FFFFFF"/>
          <w:lang w:val="en-GB" w:eastAsia="de-DE"/>
        </w:rPr>
        <w:t xml:space="preserve"> the role of entrepreneurs’ welfare or interest. The focus on client/consumer welfare maximization does not </w:t>
      </w:r>
      <w:r w:rsidR="005536AD" w:rsidRPr="00497A81">
        <w:rPr>
          <w:rFonts w:ascii="Times New Roman" w:eastAsia="Times New Roman" w:hAnsi="Times New Roman" w:cs="Times New Roman"/>
          <w:color w:val="000000"/>
          <w:sz w:val="24"/>
          <w:szCs w:val="24"/>
          <w:shd w:val="clear" w:color="auto" w:fill="FFFFFF"/>
          <w:lang w:val="en-GB" w:eastAsia="de-DE"/>
        </w:rPr>
        <w:t xml:space="preserve">imply that entrepreneur welfare is irrelevant. To put it differently, entrepreneurs cannot be exploited, welfare cannot be sucked out </w:t>
      </w:r>
      <w:r w:rsidR="00111E99" w:rsidRPr="00497A81">
        <w:rPr>
          <w:rFonts w:ascii="Times New Roman" w:eastAsia="Times New Roman" w:hAnsi="Times New Roman" w:cs="Times New Roman"/>
          <w:color w:val="000000"/>
          <w:sz w:val="24"/>
          <w:szCs w:val="24"/>
          <w:shd w:val="clear" w:color="auto" w:fill="FFFFFF"/>
          <w:lang w:val="en-GB" w:eastAsia="de-DE"/>
        </w:rPr>
        <w:t>of</w:t>
      </w:r>
      <w:r w:rsidR="00B16EF3" w:rsidRPr="00497A81">
        <w:rPr>
          <w:rFonts w:ascii="Times New Roman" w:eastAsia="Times New Roman" w:hAnsi="Times New Roman" w:cs="Times New Roman"/>
          <w:color w:val="000000"/>
          <w:sz w:val="24"/>
          <w:szCs w:val="24"/>
          <w:shd w:val="clear" w:color="auto" w:fill="FFFFFF"/>
          <w:lang w:val="en-GB" w:eastAsia="de-DE"/>
        </w:rPr>
        <w:t xml:space="preserve"> them indefinitely </w:t>
      </w:r>
      <w:r w:rsidR="005536AD" w:rsidRPr="00497A81">
        <w:rPr>
          <w:rFonts w:ascii="Times New Roman" w:eastAsia="Times New Roman" w:hAnsi="Times New Roman" w:cs="Times New Roman"/>
          <w:color w:val="000000"/>
          <w:sz w:val="24"/>
          <w:szCs w:val="24"/>
          <w:shd w:val="clear" w:color="auto" w:fill="FFFFFF"/>
          <w:lang w:val="en-GB" w:eastAsia="de-DE"/>
        </w:rPr>
        <w:t>in order to improve</w:t>
      </w:r>
      <w:r w:rsidR="00111E99" w:rsidRPr="00497A81">
        <w:rPr>
          <w:rFonts w:ascii="Times New Roman" w:eastAsia="Times New Roman" w:hAnsi="Times New Roman" w:cs="Times New Roman"/>
          <w:color w:val="000000"/>
          <w:sz w:val="24"/>
          <w:szCs w:val="24"/>
          <w:shd w:val="clear" w:color="auto" w:fill="FFFFFF"/>
          <w:lang w:val="en-GB" w:eastAsia="de-DE"/>
        </w:rPr>
        <w:t xml:space="preserve"> (even slightly)</w:t>
      </w:r>
      <w:r w:rsidR="005536AD" w:rsidRPr="00497A81">
        <w:rPr>
          <w:rFonts w:ascii="Times New Roman" w:eastAsia="Times New Roman" w:hAnsi="Times New Roman" w:cs="Times New Roman"/>
          <w:color w:val="000000"/>
          <w:sz w:val="24"/>
          <w:szCs w:val="24"/>
          <w:shd w:val="clear" w:color="auto" w:fill="FFFFFF"/>
          <w:lang w:val="en-GB" w:eastAsia="de-DE"/>
        </w:rPr>
        <w:t xml:space="preserve"> consumer welfare.</w:t>
      </w:r>
      <w:r w:rsidR="006230A2">
        <w:rPr>
          <w:rFonts w:ascii="Times New Roman" w:eastAsia="Times New Roman" w:hAnsi="Times New Roman" w:cs="Times New Roman"/>
          <w:color w:val="000000"/>
          <w:sz w:val="24"/>
          <w:szCs w:val="24"/>
          <w:shd w:val="clear" w:color="auto" w:fill="FFFFFF"/>
          <w:lang w:val="en-GB" w:eastAsia="de-DE"/>
        </w:rPr>
        <w:t xml:space="preserve"> As already stated, in our understanding of allocative efficiency there is the constraint of mutual Pareto optimal transactions.</w:t>
      </w:r>
      <w:r w:rsidR="005536AD" w:rsidRPr="00497A81">
        <w:rPr>
          <w:rFonts w:ascii="Times New Roman" w:eastAsia="Times New Roman" w:hAnsi="Times New Roman" w:cs="Times New Roman"/>
          <w:color w:val="000000"/>
          <w:sz w:val="24"/>
          <w:szCs w:val="24"/>
          <w:shd w:val="clear" w:color="auto" w:fill="FFFFFF"/>
          <w:lang w:val="en-GB" w:eastAsia="de-DE"/>
        </w:rPr>
        <w:t xml:space="preserve"> This </w:t>
      </w:r>
      <w:r w:rsidR="000B15F8" w:rsidRPr="00497A81">
        <w:rPr>
          <w:rFonts w:ascii="Times New Roman" w:eastAsia="Times New Roman" w:hAnsi="Times New Roman" w:cs="Times New Roman"/>
          <w:color w:val="000000"/>
          <w:sz w:val="24"/>
          <w:szCs w:val="24"/>
          <w:shd w:val="clear" w:color="auto" w:fill="FFFFFF"/>
          <w:lang w:val="en-GB" w:eastAsia="de-DE"/>
        </w:rPr>
        <w:t>qualification is normatively important and our experience</w:t>
      </w:r>
      <w:r w:rsidR="00F70E61" w:rsidRPr="00497A81">
        <w:rPr>
          <w:rFonts w:ascii="Times New Roman" w:eastAsia="Times New Roman" w:hAnsi="Times New Roman" w:cs="Times New Roman"/>
          <w:color w:val="000000"/>
          <w:sz w:val="24"/>
          <w:szCs w:val="24"/>
          <w:shd w:val="clear" w:color="auto" w:fill="FFFFFF"/>
          <w:lang w:val="en-GB" w:eastAsia="de-DE"/>
        </w:rPr>
        <w:t xml:space="preserve"> of</w:t>
      </w:r>
      <w:r w:rsidR="000B15F8" w:rsidRPr="00497A81">
        <w:rPr>
          <w:rFonts w:ascii="Times New Roman" w:eastAsia="Times New Roman" w:hAnsi="Times New Roman" w:cs="Times New Roman"/>
          <w:color w:val="000000"/>
          <w:sz w:val="24"/>
          <w:szCs w:val="24"/>
          <w:shd w:val="clear" w:color="auto" w:fill="FFFFFF"/>
          <w:lang w:val="en-GB" w:eastAsia="de-DE"/>
        </w:rPr>
        <w:t xml:space="preserve"> discussing this research </w:t>
      </w:r>
      <w:r w:rsidR="00F70E61" w:rsidRPr="00497A81">
        <w:rPr>
          <w:rFonts w:ascii="Times New Roman" w:eastAsia="Times New Roman" w:hAnsi="Times New Roman" w:cs="Times New Roman"/>
          <w:color w:val="000000"/>
          <w:sz w:val="24"/>
          <w:szCs w:val="24"/>
          <w:shd w:val="clear" w:color="auto" w:fill="FFFFFF"/>
          <w:lang w:val="en-GB" w:eastAsia="de-DE"/>
        </w:rPr>
        <w:t>with others</w:t>
      </w:r>
      <w:r w:rsidR="00AD63F3" w:rsidRPr="00497A81">
        <w:rPr>
          <w:rFonts w:ascii="Times New Roman" w:eastAsia="Times New Roman" w:hAnsi="Times New Roman" w:cs="Times New Roman"/>
          <w:color w:val="000000"/>
          <w:sz w:val="24"/>
          <w:szCs w:val="24"/>
          <w:shd w:val="clear" w:color="auto" w:fill="FFFFFF"/>
          <w:lang w:val="en-GB" w:eastAsia="de-DE"/>
        </w:rPr>
        <w:t xml:space="preserve"> suggests that</w:t>
      </w:r>
      <w:r w:rsidR="00F70E61" w:rsidRPr="00497A81">
        <w:rPr>
          <w:rFonts w:ascii="Times New Roman" w:eastAsia="Times New Roman" w:hAnsi="Times New Roman" w:cs="Times New Roman"/>
          <w:color w:val="000000"/>
          <w:sz w:val="24"/>
          <w:szCs w:val="24"/>
          <w:shd w:val="clear" w:color="auto" w:fill="FFFFFF"/>
          <w:lang w:val="en-GB" w:eastAsia="de-DE"/>
        </w:rPr>
        <w:t xml:space="preserve"> </w:t>
      </w:r>
      <w:r w:rsidR="000B15F8" w:rsidRPr="00497A81">
        <w:rPr>
          <w:rFonts w:ascii="Times New Roman" w:eastAsia="Times New Roman" w:hAnsi="Times New Roman" w:cs="Times New Roman"/>
          <w:color w:val="000000"/>
          <w:sz w:val="24"/>
          <w:szCs w:val="24"/>
          <w:shd w:val="clear" w:color="auto" w:fill="FFFFFF"/>
          <w:lang w:val="en-GB" w:eastAsia="de-DE"/>
        </w:rPr>
        <w:t>th</w:t>
      </w:r>
      <w:r w:rsidR="00F70E61" w:rsidRPr="00497A81">
        <w:rPr>
          <w:rFonts w:ascii="Times New Roman" w:eastAsia="Times New Roman" w:hAnsi="Times New Roman" w:cs="Times New Roman"/>
          <w:color w:val="000000"/>
          <w:sz w:val="24"/>
          <w:szCs w:val="24"/>
          <w:shd w:val="clear" w:color="auto" w:fill="FFFFFF"/>
          <w:lang w:val="en-GB" w:eastAsia="de-DE"/>
        </w:rPr>
        <w:t>e</w:t>
      </w:r>
      <w:r w:rsidR="000B15F8" w:rsidRPr="00497A81">
        <w:rPr>
          <w:rFonts w:ascii="Times New Roman" w:eastAsia="Times New Roman" w:hAnsi="Times New Roman" w:cs="Times New Roman"/>
          <w:color w:val="000000"/>
          <w:sz w:val="24"/>
          <w:szCs w:val="24"/>
          <w:shd w:val="clear" w:color="auto" w:fill="FFFFFF"/>
          <w:lang w:val="en-GB" w:eastAsia="de-DE"/>
        </w:rPr>
        <w:t xml:space="preserve"> concern </w:t>
      </w:r>
      <w:r w:rsidR="00111E99" w:rsidRPr="00497A81">
        <w:rPr>
          <w:rFonts w:ascii="Times New Roman" w:eastAsia="Times New Roman" w:hAnsi="Times New Roman" w:cs="Times New Roman"/>
          <w:color w:val="000000"/>
          <w:sz w:val="24"/>
          <w:szCs w:val="24"/>
          <w:shd w:val="clear" w:color="auto" w:fill="FFFFFF"/>
          <w:lang w:val="en-GB" w:eastAsia="de-DE"/>
        </w:rPr>
        <w:t xml:space="preserve">is </w:t>
      </w:r>
      <w:r w:rsidR="006230A2">
        <w:rPr>
          <w:rFonts w:ascii="Times New Roman" w:eastAsia="Times New Roman" w:hAnsi="Times New Roman" w:cs="Times New Roman"/>
          <w:color w:val="000000"/>
          <w:sz w:val="24"/>
          <w:szCs w:val="24"/>
          <w:shd w:val="clear" w:color="auto" w:fill="FFFFFF"/>
          <w:lang w:val="en-GB" w:eastAsia="de-DE"/>
        </w:rPr>
        <w:t>immediate and powerful</w:t>
      </w:r>
      <w:r w:rsidR="000B15F8" w:rsidRPr="00497A81">
        <w:rPr>
          <w:rFonts w:ascii="Times New Roman" w:eastAsia="Times New Roman" w:hAnsi="Times New Roman" w:cs="Times New Roman"/>
          <w:color w:val="000000"/>
          <w:sz w:val="24"/>
          <w:szCs w:val="24"/>
          <w:shd w:val="clear" w:color="auto" w:fill="FFFFFF"/>
          <w:lang w:val="en-GB" w:eastAsia="de-DE"/>
        </w:rPr>
        <w:t xml:space="preserve">. However, in our view, this </w:t>
      </w:r>
      <w:r w:rsidR="00F70E61" w:rsidRPr="00497A81">
        <w:rPr>
          <w:rFonts w:ascii="Times New Roman" w:eastAsia="Times New Roman" w:hAnsi="Times New Roman" w:cs="Times New Roman"/>
          <w:color w:val="000000"/>
          <w:sz w:val="24"/>
          <w:szCs w:val="24"/>
          <w:shd w:val="clear" w:color="auto" w:fill="FFFFFF"/>
          <w:lang w:val="en-GB" w:eastAsia="de-DE"/>
        </w:rPr>
        <w:t xml:space="preserve">constraint is already enshrined in the first qualification. In fact, a necessary element of a </w:t>
      </w:r>
      <w:r w:rsidR="00111E99" w:rsidRPr="00497A81">
        <w:rPr>
          <w:rFonts w:ascii="Times New Roman" w:eastAsia="Times New Roman" w:hAnsi="Times New Roman" w:cs="Times New Roman"/>
          <w:color w:val="000000"/>
          <w:sz w:val="24"/>
          <w:szCs w:val="24"/>
          <w:shd w:val="clear" w:color="auto" w:fill="FFFFFF"/>
          <w:lang w:val="en-GB" w:eastAsia="de-DE"/>
        </w:rPr>
        <w:t>well-</w:t>
      </w:r>
      <w:r w:rsidR="00F70E61" w:rsidRPr="00497A81">
        <w:rPr>
          <w:rFonts w:ascii="Times New Roman" w:eastAsia="Times New Roman" w:hAnsi="Times New Roman" w:cs="Times New Roman"/>
          <w:color w:val="000000"/>
          <w:sz w:val="24"/>
          <w:szCs w:val="24"/>
          <w:shd w:val="clear" w:color="auto" w:fill="FFFFFF"/>
          <w:lang w:val="en-GB" w:eastAsia="de-DE"/>
        </w:rPr>
        <w:t>functioning, competitive market is the freedom to c</w:t>
      </w:r>
      <w:r w:rsidR="00111E99" w:rsidRPr="00497A81">
        <w:rPr>
          <w:rFonts w:ascii="Times New Roman" w:eastAsia="Times New Roman" w:hAnsi="Times New Roman" w:cs="Times New Roman"/>
          <w:color w:val="000000"/>
          <w:sz w:val="24"/>
          <w:szCs w:val="24"/>
          <w:shd w:val="clear" w:color="auto" w:fill="FFFFFF"/>
          <w:lang w:val="en-GB" w:eastAsia="de-DE"/>
        </w:rPr>
        <w:t>hoose whether</w:t>
      </w:r>
      <w:r w:rsidR="00F70E61" w:rsidRPr="00497A81">
        <w:rPr>
          <w:rFonts w:ascii="Times New Roman" w:eastAsia="Times New Roman" w:hAnsi="Times New Roman" w:cs="Times New Roman"/>
          <w:color w:val="000000"/>
          <w:sz w:val="24"/>
          <w:szCs w:val="24"/>
          <w:shd w:val="clear" w:color="auto" w:fill="FFFFFF"/>
          <w:lang w:val="en-GB" w:eastAsia="de-DE"/>
        </w:rPr>
        <w:t xml:space="preserve"> </w:t>
      </w:r>
      <w:r w:rsidR="00111E99" w:rsidRPr="00497A81">
        <w:rPr>
          <w:rFonts w:ascii="Times New Roman" w:eastAsia="Times New Roman" w:hAnsi="Times New Roman" w:cs="Times New Roman"/>
          <w:color w:val="000000"/>
          <w:sz w:val="24"/>
          <w:szCs w:val="24"/>
          <w:shd w:val="clear" w:color="auto" w:fill="FFFFFF"/>
          <w:lang w:val="en-GB" w:eastAsia="de-DE"/>
        </w:rPr>
        <w:t xml:space="preserve">to contract </w:t>
      </w:r>
      <w:r w:rsidR="00F70E61" w:rsidRPr="00497A81">
        <w:rPr>
          <w:rFonts w:ascii="Times New Roman" w:eastAsia="Times New Roman" w:hAnsi="Times New Roman" w:cs="Times New Roman"/>
          <w:color w:val="000000"/>
          <w:sz w:val="24"/>
          <w:szCs w:val="24"/>
          <w:shd w:val="clear" w:color="auto" w:fill="FFFFFF"/>
          <w:lang w:val="en-GB" w:eastAsia="de-DE"/>
        </w:rPr>
        <w:t>and</w:t>
      </w:r>
      <w:r w:rsidR="00111E99" w:rsidRPr="00497A81">
        <w:rPr>
          <w:rFonts w:ascii="Times New Roman" w:eastAsia="Times New Roman" w:hAnsi="Times New Roman" w:cs="Times New Roman"/>
          <w:color w:val="000000"/>
          <w:sz w:val="24"/>
          <w:szCs w:val="24"/>
          <w:shd w:val="clear" w:color="auto" w:fill="FFFFFF"/>
          <w:lang w:val="en-GB" w:eastAsia="de-DE"/>
        </w:rPr>
        <w:t xml:space="preserve"> if so, with whom</w:t>
      </w:r>
      <w:r w:rsidR="00F70E61" w:rsidRPr="00497A81">
        <w:rPr>
          <w:rFonts w:ascii="Times New Roman" w:eastAsia="Times New Roman" w:hAnsi="Times New Roman" w:cs="Times New Roman"/>
          <w:color w:val="000000"/>
          <w:sz w:val="24"/>
          <w:szCs w:val="24"/>
          <w:shd w:val="clear" w:color="auto" w:fill="FFFFFF"/>
          <w:lang w:val="en-GB" w:eastAsia="de-DE"/>
        </w:rPr>
        <w:t>.</w:t>
      </w:r>
      <w:r w:rsidR="0084359E"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51"/>
      </w:r>
      <w:r w:rsidR="00F70E61" w:rsidRPr="00497A81">
        <w:rPr>
          <w:rFonts w:ascii="Times New Roman" w:eastAsia="Times New Roman" w:hAnsi="Times New Roman" w:cs="Times New Roman"/>
          <w:color w:val="000000"/>
          <w:sz w:val="24"/>
          <w:szCs w:val="24"/>
          <w:shd w:val="clear" w:color="auto" w:fill="FFFFFF"/>
          <w:lang w:val="en-GB" w:eastAsia="de-DE"/>
        </w:rPr>
        <w:t xml:space="preserve"> Therefore, given that </w:t>
      </w:r>
      <w:r w:rsidR="00B16EF3" w:rsidRPr="00497A81">
        <w:rPr>
          <w:rFonts w:ascii="Times New Roman" w:eastAsia="Times New Roman" w:hAnsi="Times New Roman" w:cs="Times New Roman"/>
          <w:color w:val="000000"/>
          <w:sz w:val="24"/>
          <w:szCs w:val="24"/>
          <w:shd w:val="clear" w:color="auto" w:fill="FFFFFF"/>
          <w:lang w:val="en-GB" w:eastAsia="de-DE"/>
        </w:rPr>
        <w:t>the entrepreneur</w:t>
      </w:r>
      <w:r w:rsidR="000B15F8" w:rsidRPr="00497A81">
        <w:rPr>
          <w:rFonts w:ascii="Times New Roman" w:eastAsia="Times New Roman" w:hAnsi="Times New Roman" w:cs="Times New Roman"/>
          <w:color w:val="000000"/>
          <w:sz w:val="24"/>
          <w:szCs w:val="24"/>
          <w:shd w:val="clear" w:color="auto" w:fill="FFFFFF"/>
          <w:lang w:val="en-GB" w:eastAsia="de-DE"/>
        </w:rPr>
        <w:t xml:space="preserve"> </w:t>
      </w:r>
      <w:r w:rsidR="0084359E" w:rsidRPr="00497A81">
        <w:rPr>
          <w:rFonts w:ascii="Times New Roman" w:eastAsia="Times New Roman" w:hAnsi="Times New Roman" w:cs="Times New Roman"/>
          <w:color w:val="000000"/>
          <w:sz w:val="24"/>
          <w:szCs w:val="24"/>
          <w:shd w:val="clear" w:color="auto" w:fill="FFFFFF"/>
          <w:lang w:val="en-GB" w:eastAsia="de-DE"/>
        </w:rPr>
        <w:t xml:space="preserve">enjoys these freedoms, he will operate on the market only if this makes him better-off. </w:t>
      </w:r>
      <w:r w:rsidR="00111E99" w:rsidRPr="00497A81">
        <w:rPr>
          <w:rFonts w:ascii="Times New Roman" w:eastAsia="Times New Roman" w:hAnsi="Times New Roman" w:cs="Times New Roman"/>
          <w:color w:val="000000"/>
          <w:sz w:val="24"/>
          <w:szCs w:val="24"/>
          <w:shd w:val="clear" w:color="auto" w:fill="FFFFFF"/>
          <w:lang w:val="en-GB" w:eastAsia="de-DE"/>
        </w:rPr>
        <w:t xml:space="preserve">Thus, the market process embodies a certain level of protection of </w:t>
      </w:r>
      <w:r w:rsidR="00AD63F3" w:rsidRPr="00497A81">
        <w:rPr>
          <w:rFonts w:ascii="Times New Roman" w:eastAsia="Times New Roman" w:hAnsi="Times New Roman" w:cs="Times New Roman"/>
          <w:color w:val="000000"/>
          <w:sz w:val="24"/>
          <w:szCs w:val="24"/>
          <w:shd w:val="clear" w:color="auto" w:fill="FFFFFF"/>
          <w:lang w:val="en-GB" w:eastAsia="de-DE"/>
        </w:rPr>
        <w:t>entrepreneurs’ welfare</w:t>
      </w:r>
      <w:r w:rsidR="006230A2">
        <w:rPr>
          <w:rFonts w:ascii="Times New Roman" w:eastAsia="Times New Roman" w:hAnsi="Times New Roman" w:cs="Times New Roman"/>
          <w:color w:val="000000"/>
          <w:sz w:val="24"/>
          <w:szCs w:val="24"/>
          <w:shd w:val="clear" w:color="auto" w:fill="FFFFFF"/>
          <w:lang w:val="en-GB" w:eastAsia="de-DE"/>
        </w:rPr>
        <w:t>, that we have expressed with the mutual Pareto optimal transactions</w:t>
      </w:r>
      <w:r w:rsidR="00AD63F3" w:rsidRPr="00497A81">
        <w:rPr>
          <w:rFonts w:ascii="Times New Roman" w:eastAsia="Times New Roman" w:hAnsi="Times New Roman" w:cs="Times New Roman"/>
          <w:color w:val="000000"/>
          <w:sz w:val="24"/>
          <w:szCs w:val="24"/>
          <w:shd w:val="clear" w:color="auto" w:fill="FFFFFF"/>
          <w:lang w:val="en-GB" w:eastAsia="de-DE"/>
        </w:rPr>
        <w:t>.</w:t>
      </w:r>
      <w:r w:rsidR="007B4635" w:rsidRPr="00497A81">
        <w:rPr>
          <w:rFonts w:ascii="Times New Roman" w:eastAsia="Times New Roman" w:hAnsi="Times New Roman" w:cs="Times New Roman"/>
          <w:color w:val="000000"/>
          <w:sz w:val="24"/>
          <w:szCs w:val="24"/>
          <w:shd w:val="clear" w:color="auto" w:fill="FFFFFF"/>
          <w:lang w:val="en-GB" w:eastAsia="de-DE"/>
        </w:rPr>
        <w:t xml:space="preserve"> From a different perspective, a Pareto optimal market equilibrium is allocatively optimal only when consumer welfare is maximized.</w:t>
      </w:r>
      <w:r w:rsidR="006230A2">
        <w:rPr>
          <w:rFonts w:ascii="Times New Roman" w:eastAsia="Times New Roman" w:hAnsi="Times New Roman" w:cs="Times New Roman"/>
          <w:color w:val="000000"/>
          <w:sz w:val="24"/>
          <w:szCs w:val="24"/>
          <w:shd w:val="clear" w:color="auto" w:fill="FFFFFF"/>
          <w:lang w:val="en-GB" w:eastAsia="de-DE"/>
        </w:rPr>
        <w:t xml:space="preserve"> It follows that as long as the agency costs imposed on the consumer are not minimized, the resulting equilibrium cannot represent the ideal allocative optimum.</w:t>
      </w:r>
      <w:r w:rsidR="007B4635" w:rsidRPr="00497A81">
        <w:rPr>
          <w:rFonts w:ascii="Times New Roman" w:eastAsia="Times New Roman" w:hAnsi="Times New Roman" w:cs="Times New Roman"/>
          <w:color w:val="000000"/>
          <w:sz w:val="24"/>
          <w:szCs w:val="24"/>
          <w:shd w:val="clear" w:color="auto" w:fill="FFFFFF"/>
          <w:lang w:val="en-GB" w:eastAsia="de-DE"/>
        </w:rPr>
        <w:t xml:space="preserve"> This is the point where </w:t>
      </w:r>
      <w:r w:rsidR="00C47F0E" w:rsidRPr="00497A81">
        <w:rPr>
          <w:rFonts w:ascii="Times New Roman" w:eastAsia="Times New Roman" w:hAnsi="Times New Roman" w:cs="Times New Roman"/>
          <w:color w:val="000000"/>
          <w:sz w:val="24"/>
          <w:szCs w:val="24"/>
          <w:shd w:val="clear" w:color="auto" w:fill="FFFFFF"/>
          <w:lang w:val="en-GB" w:eastAsia="de-DE"/>
        </w:rPr>
        <w:t>our</w:t>
      </w:r>
      <w:r w:rsidR="007B4635" w:rsidRPr="00497A81">
        <w:rPr>
          <w:rFonts w:ascii="Times New Roman" w:eastAsia="Times New Roman" w:hAnsi="Times New Roman" w:cs="Times New Roman"/>
          <w:color w:val="000000"/>
          <w:sz w:val="24"/>
          <w:szCs w:val="24"/>
          <w:shd w:val="clear" w:color="auto" w:fill="FFFFFF"/>
          <w:lang w:val="en-GB" w:eastAsia="de-DE"/>
        </w:rPr>
        <w:t xml:space="preserve"> position takes part from the current mainstream.</w:t>
      </w:r>
    </w:p>
    <w:p w14:paraId="3D319E4C" w14:textId="5EAF735E" w:rsidR="008B3D73" w:rsidRPr="00497A81" w:rsidRDefault="001D5DD6" w:rsidP="00592D7A">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The third qualification relates to the</w:t>
      </w:r>
      <w:r w:rsidR="00592D7A" w:rsidRPr="00497A81">
        <w:rPr>
          <w:rFonts w:ascii="Times New Roman" w:eastAsia="Times New Roman" w:hAnsi="Times New Roman" w:cs="Times New Roman"/>
          <w:color w:val="000000"/>
          <w:sz w:val="24"/>
          <w:szCs w:val="24"/>
          <w:shd w:val="clear" w:color="auto" w:fill="FFFFFF"/>
          <w:lang w:val="en-GB" w:eastAsia="de-DE"/>
        </w:rPr>
        <w:t xml:space="preserve"> incompleteness of the interests considered</w:t>
      </w:r>
      <w:r w:rsidR="007B4635" w:rsidRPr="00497A81">
        <w:rPr>
          <w:rFonts w:ascii="Times New Roman" w:eastAsia="Times New Roman" w:hAnsi="Times New Roman" w:cs="Times New Roman"/>
          <w:color w:val="000000"/>
          <w:sz w:val="24"/>
          <w:szCs w:val="24"/>
          <w:shd w:val="clear" w:color="auto" w:fill="FFFFFF"/>
          <w:lang w:val="en-GB" w:eastAsia="de-DE"/>
        </w:rPr>
        <w:t xml:space="preserve"> so far</w:t>
      </w:r>
      <w:r w:rsidR="008B3D73" w:rsidRPr="00497A81">
        <w:rPr>
          <w:rFonts w:ascii="Times New Roman" w:eastAsia="Times New Roman" w:hAnsi="Times New Roman" w:cs="Times New Roman"/>
          <w:color w:val="000000"/>
          <w:sz w:val="24"/>
          <w:szCs w:val="24"/>
          <w:shd w:val="clear" w:color="auto" w:fill="FFFFFF"/>
          <w:lang w:val="en-GB" w:eastAsia="de-DE"/>
        </w:rPr>
        <w:t>.</w:t>
      </w:r>
      <w:r w:rsidR="007B4635" w:rsidRPr="00497A81">
        <w:rPr>
          <w:rFonts w:ascii="Times New Roman" w:eastAsia="Times New Roman" w:hAnsi="Times New Roman" w:cs="Times New Roman"/>
          <w:color w:val="000000"/>
          <w:sz w:val="24"/>
          <w:szCs w:val="24"/>
          <w:shd w:val="clear" w:color="auto" w:fill="FFFFFF"/>
          <w:lang w:val="en-GB" w:eastAsia="de-DE"/>
        </w:rPr>
        <w:t xml:space="preserve"> A just society cannot be reduced to an allocatively optimal general equilibrium.</w:t>
      </w:r>
      <w:r w:rsidR="008B3D73" w:rsidRPr="00497A81">
        <w:rPr>
          <w:rFonts w:ascii="Times New Roman" w:eastAsia="Times New Roman" w:hAnsi="Times New Roman" w:cs="Times New Roman"/>
          <w:color w:val="000000"/>
          <w:sz w:val="24"/>
          <w:szCs w:val="24"/>
          <w:shd w:val="clear" w:color="auto" w:fill="FFFFFF"/>
          <w:lang w:val="en-GB" w:eastAsia="de-DE"/>
        </w:rPr>
        <w:t xml:space="preserve"> When it is postulated that the ultimate </w:t>
      </w:r>
      <w:r w:rsidR="007B4635" w:rsidRPr="00497A81">
        <w:rPr>
          <w:rFonts w:ascii="Times New Roman" w:eastAsia="Times New Roman" w:hAnsi="Times New Roman" w:cs="Times New Roman"/>
          <w:color w:val="000000"/>
          <w:sz w:val="24"/>
          <w:szCs w:val="24"/>
          <w:shd w:val="clear" w:color="auto" w:fill="FFFFFF"/>
          <w:lang w:val="en-GB" w:eastAsia="de-DE"/>
        </w:rPr>
        <w:t xml:space="preserve">microeconomic </w:t>
      </w:r>
      <w:r w:rsidR="0084359E" w:rsidRPr="00497A81">
        <w:rPr>
          <w:rFonts w:ascii="Times New Roman" w:eastAsia="Times New Roman" w:hAnsi="Times New Roman" w:cs="Times New Roman"/>
          <w:color w:val="000000"/>
          <w:sz w:val="24"/>
          <w:szCs w:val="24"/>
          <w:shd w:val="clear" w:color="auto" w:fill="FFFFFF"/>
          <w:lang w:val="en-GB" w:eastAsia="de-DE"/>
        </w:rPr>
        <w:t xml:space="preserve">rationale </w:t>
      </w:r>
      <w:r w:rsidR="008B3D73" w:rsidRPr="00497A81">
        <w:rPr>
          <w:rFonts w:ascii="Times New Roman" w:eastAsia="Times New Roman" w:hAnsi="Times New Roman" w:cs="Times New Roman"/>
          <w:color w:val="000000"/>
          <w:sz w:val="24"/>
          <w:szCs w:val="24"/>
          <w:shd w:val="clear" w:color="auto" w:fill="FFFFFF"/>
          <w:lang w:val="en-GB" w:eastAsia="de-DE"/>
        </w:rPr>
        <w:t>of markets or of market regulation – just like the ultimate goal of company law regulation – is overall client/consumer welfare (or shareholder</w:t>
      </w:r>
      <w:r w:rsidR="00AD63F3" w:rsidRPr="00497A81">
        <w:rPr>
          <w:rFonts w:ascii="Times New Roman" w:eastAsia="Times New Roman" w:hAnsi="Times New Roman" w:cs="Times New Roman"/>
          <w:color w:val="000000"/>
          <w:sz w:val="24"/>
          <w:szCs w:val="24"/>
          <w:shd w:val="clear" w:color="auto" w:fill="FFFFFF"/>
          <w:lang w:val="en-GB" w:eastAsia="de-DE"/>
        </w:rPr>
        <w:t>/investor</w:t>
      </w:r>
      <w:r w:rsidR="008B3D73" w:rsidRPr="00497A81">
        <w:rPr>
          <w:rFonts w:ascii="Times New Roman" w:eastAsia="Times New Roman" w:hAnsi="Times New Roman" w:cs="Times New Roman"/>
          <w:color w:val="000000"/>
          <w:sz w:val="24"/>
          <w:szCs w:val="24"/>
          <w:shd w:val="clear" w:color="auto" w:fill="FFFFFF"/>
          <w:lang w:val="en-GB" w:eastAsia="de-DE"/>
        </w:rPr>
        <w:t xml:space="preserve"> welfare) </w:t>
      </w:r>
      <w:r w:rsidR="008F1AB5">
        <w:rPr>
          <w:rFonts w:ascii="Times New Roman" w:eastAsia="Times New Roman" w:hAnsi="Times New Roman" w:cs="Times New Roman"/>
          <w:color w:val="000000"/>
          <w:sz w:val="24"/>
          <w:szCs w:val="24"/>
          <w:shd w:val="clear" w:color="auto" w:fill="FFFFFF"/>
          <w:lang w:val="en-GB" w:eastAsia="de-DE"/>
        </w:rPr>
        <w:t xml:space="preserve">via mutually Pareto optimal transactions, </w:t>
      </w:r>
      <w:r w:rsidR="008B3D73" w:rsidRPr="00497A81">
        <w:rPr>
          <w:rFonts w:ascii="Times New Roman" w:eastAsia="Times New Roman" w:hAnsi="Times New Roman" w:cs="Times New Roman"/>
          <w:color w:val="000000"/>
          <w:sz w:val="24"/>
          <w:szCs w:val="24"/>
          <w:shd w:val="clear" w:color="auto" w:fill="FFFFFF"/>
          <w:lang w:val="en-GB" w:eastAsia="de-DE"/>
        </w:rPr>
        <w:t xml:space="preserve">this relates to the relationship between the </w:t>
      </w:r>
      <w:r w:rsidR="007B4635" w:rsidRPr="00497A81">
        <w:rPr>
          <w:rFonts w:ascii="Times New Roman" w:eastAsia="Times New Roman" w:hAnsi="Times New Roman" w:cs="Times New Roman"/>
          <w:color w:val="000000"/>
          <w:sz w:val="24"/>
          <w:szCs w:val="24"/>
          <w:shd w:val="clear" w:color="auto" w:fill="FFFFFF"/>
          <w:lang w:val="en-GB" w:eastAsia="de-DE"/>
        </w:rPr>
        <w:t xml:space="preserve">classes of </w:t>
      </w:r>
      <w:r w:rsidR="008B3D73" w:rsidRPr="00497A81">
        <w:rPr>
          <w:rFonts w:ascii="Times New Roman" w:eastAsia="Times New Roman" w:hAnsi="Times New Roman" w:cs="Times New Roman"/>
          <w:color w:val="000000"/>
          <w:sz w:val="24"/>
          <w:szCs w:val="24"/>
          <w:shd w:val="clear" w:color="auto" w:fill="FFFFFF"/>
          <w:lang w:val="en-GB" w:eastAsia="de-DE"/>
        </w:rPr>
        <w:t xml:space="preserve">players named: shareholders/investors and managers on the one hand </w:t>
      </w:r>
      <w:r w:rsidR="00333BB8" w:rsidRPr="00497A81">
        <w:rPr>
          <w:rFonts w:ascii="Times New Roman" w:eastAsia="Times New Roman" w:hAnsi="Times New Roman" w:cs="Times New Roman"/>
          <w:color w:val="000000"/>
          <w:sz w:val="24"/>
          <w:szCs w:val="24"/>
          <w:shd w:val="clear" w:color="auto" w:fill="FFFFFF"/>
          <w:lang w:val="en-GB" w:eastAsia="de-DE"/>
        </w:rPr>
        <w:t xml:space="preserve">and </w:t>
      </w:r>
      <w:r w:rsidR="008B3D73" w:rsidRPr="00497A81">
        <w:rPr>
          <w:rFonts w:ascii="Times New Roman" w:eastAsia="Times New Roman" w:hAnsi="Times New Roman" w:cs="Times New Roman"/>
          <w:color w:val="000000"/>
          <w:sz w:val="24"/>
          <w:szCs w:val="24"/>
          <w:shd w:val="clear" w:color="auto" w:fill="FFFFFF"/>
          <w:lang w:val="en-GB" w:eastAsia="de-DE"/>
        </w:rPr>
        <w:t xml:space="preserve">clients/consumers and </w:t>
      </w:r>
      <w:r w:rsidR="00AD63F3" w:rsidRPr="00497A81">
        <w:rPr>
          <w:rFonts w:ascii="Times New Roman" w:eastAsia="Times New Roman" w:hAnsi="Times New Roman" w:cs="Times New Roman"/>
          <w:color w:val="000000"/>
          <w:sz w:val="24"/>
          <w:szCs w:val="24"/>
          <w:shd w:val="clear" w:color="auto" w:fill="FFFFFF"/>
          <w:lang w:val="en-GB" w:eastAsia="de-DE"/>
        </w:rPr>
        <w:t xml:space="preserve">entrepreneurs </w:t>
      </w:r>
      <w:r w:rsidR="008B3D73" w:rsidRPr="00497A81">
        <w:rPr>
          <w:rFonts w:ascii="Times New Roman" w:eastAsia="Times New Roman" w:hAnsi="Times New Roman" w:cs="Times New Roman"/>
          <w:color w:val="000000"/>
          <w:sz w:val="24"/>
          <w:szCs w:val="24"/>
          <w:shd w:val="clear" w:color="auto" w:fill="FFFFFF"/>
          <w:lang w:val="en-GB" w:eastAsia="de-DE"/>
        </w:rPr>
        <w:t xml:space="preserve">on the other. What it does not relate to is </w:t>
      </w:r>
      <w:r w:rsidR="007B4635" w:rsidRPr="00497A81">
        <w:rPr>
          <w:rFonts w:ascii="Times New Roman" w:eastAsia="Times New Roman" w:hAnsi="Times New Roman" w:cs="Times New Roman"/>
          <w:color w:val="000000"/>
          <w:sz w:val="24"/>
          <w:szCs w:val="24"/>
          <w:shd w:val="clear" w:color="auto" w:fill="FFFFFF"/>
          <w:lang w:val="en-GB" w:eastAsia="de-DE"/>
        </w:rPr>
        <w:t xml:space="preserve">collective and </w:t>
      </w:r>
      <w:r w:rsidR="008B3D73" w:rsidRPr="00497A81">
        <w:rPr>
          <w:rFonts w:ascii="Times New Roman" w:eastAsia="Times New Roman" w:hAnsi="Times New Roman" w:cs="Times New Roman"/>
          <w:color w:val="000000"/>
          <w:sz w:val="24"/>
          <w:szCs w:val="24"/>
          <w:shd w:val="clear" w:color="auto" w:fill="FFFFFF"/>
          <w:lang w:val="en-GB" w:eastAsia="de-DE"/>
        </w:rPr>
        <w:t>third party interests (externalities</w:t>
      </w:r>
      <w:r w:rsidR="00111E99"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52"/>
      </w:r>
      <w:r w:rsidR="008B3D73" w:rsidRPr="00497A81">
        <w:rPr>
          <w:rFonts w:ascii="Times New Roman" w:eastAsia="Times New Roman" w:hAnsi="Times New Roman" w:cs="Times New Roman"/>
          <w:color w:val="000000"/>
          <w:sz w:val="24"/>
          <w:szCs w:val="24"/>
          <w:shd w:val="clear" w:color="auto" w:fill="FFFFFF"/>
          <w:lang w:val="en-GB" w:eastAsia="de-DE"/>
        </w:rPr>
        <w:t xml:space="preserve">): </w:t>
      </w:r>
      <w:r w:rsidR="007B4635" w:rsidRPr="00497A81">
        <w:rPr>
          <w:rFonts w:ascii="Times New Roman" w:eastAsia="Times New Roman" w:hAnsi="Times New Roman" w:cs="Times New Roman"/>
          <w:color w:val="000000"/>
          <w:sz w:val="24"/>
          <w:szCs w:val="24"/>
          <w:shd w:val="clear" w:color="auto" w:fill="FFFFFF"/>
          <w:lang w:val="en-GB" w:eastAsia="de-DE"/>
        </w:rPr>
        <w:t>J</w:t>
      </w:r>
      <w:r w:rsidR="008B3D73" w:rsidRPr="00497A81">
        <w:rPr>
          <w:rFonts w:ascii="Times New Roman" w:eastAsia="Times New Roman" w:hAnsi="Times New Roman" w:cs="Times New Roman"/>
          <w:color w:val="000000"/>
          <w:sz w:val="24"/>
          <w:szCs w:val="24"/>
          <w:shd w:val="clear" w:color="auto" w:fill="FFFFFF"/>
          <w:lang w:val="en-GB" w:eastAsia="de-DE"/>
        </w:rPr>
        <w:t xml:space="preserve">ust as in company law, for instance, regulation can protect the interest of overall financial stability or </w:t>
      </w:r>
      <w:r w:rsidR="00AD63F3" w:rsidRPr="00497A81">
        <w:rPr>
          <w:rFonts w:ascii="Times New Roman" w:eastAsia="Times New Roman" w:hAnsi="Times New Roman" w:cs="Times New Roman"/>
          <w:color w:val="000000"/>
          <w:sz w:val="24"/>
          <w:szCs w:val="24"/>
          <w:shd w:val="clear" w:color="auto" w:fill="FFFFFF"/>
          <w:lang w:val="en-GB" w:eastAsia="de-DE"/>
        </w:rPr>
        <w:t>economic growth</w:t>
      </w:r>
      <w:r w:rsidR="008B3D73" w:rsidRPr="00497A81">
        <w:rPr>
          <w:rFonts w:ascii="Times New Roman" w:eastAsia="Times New Roman" w:hAnsi="Times New Roman" w:cs="Times New Roman"/>
          <w:color w:val="000000"/>
          <w:sz w:val="24"/>
          <w:szCs w:val="24"/>
          <w:shd w:val="clear" w:color="auto" w:fill="FFFFFF"/>
          <w:lang w:val="en-GB" w:eastAsia="de-DE"/>
        </w:rPr>
        <w:t xml:space="preserve"> irrespective of the fact that managers are seen as agents and shareholders as principals, third party and public interests are to be considered separately from the relationship between </w:t>
      </w:r>
      <w:r w:rsidR="00AD63F3" w:rsidRPr="00497A81">
        <w:rPr>
          <w:rFonts w:ascii="Times New Roman" w:eastAsia="Times New Roman" w:hAnsi="Times New Roman" w:cs="Times New Roman"/>
          <w:color w:val="000000"/>
          <w:sz w:val="24"/>
          <w:szCs w:val="24"/>
          <w:shd w:val="clear" w:color="auto" w:fill="FFFFFF"/>
          <w:lang w:val="en-GB" w:eastAsia="de-DE"/>
        </w:rPr>
        <w:t xml:space="preserve">entrepreneurs </w:t>
      </w:r>
      <w:r w:rsidR="008B3D73" w:rsidRPr="00497A81">
        <w:rPr>
          <w:rFonts w:ascii="Times New Roman" w:eastAsia="Times New Roman" w:hAnsi="Times New Roman" w:cs="Times New Roman"/>
          <w:color w:val="000000"/>
          <w:sz w:val="24"/>
          <w:szCs w:val="24"/>
          <w:shd w:val="clear" w:color="auto" w:fill="FFFFFF"/>
          <w:lang w:val="en-GB" w:eastAsia="de-DE"/>
        </w:rPr>
        <w:t>(as agents) and clients/consumers (as principals). Consumer sovereignty</w:t>
      </w:r>
      <w:r w:rsidR="00AD63F3" w:rsidRPr="00497A81">
        <w:rPr>
          <w:rFonts w:ascii="Times New Roman" w:eastAsia="Times New Roman" w:hAnsi="Times New Roman" w:cs="Times New Roman"/>
          <w:color w:val="000000"/>
          <w:sz w:val="24"/>
          <w:szCs w:val="24"/>
          <w:shd w:val="clear" w:color="auto" w:fill="FFFFFF"/>
          <w:lang w:val="en-GB" w:eastAsia="de-DE"/>
        </w:rPr>
        <w:t>/empowerment</w:t>
      </w:r>
      <w:r w:rsidR="008B3D73" w:rsidRPr="00497A81">
        <w:rPr>
          <w:rFonts w:ascii="Times New Roman" w:eastAsia="Times New Roman" w:hAnsi="Times New Roman" w:cs="Times New Roman"/>
          <w:color w:val="000000"/>
          <w:sz w:val="24"/>
          <w:szCs w:val="24"/>
          <w:shd w:val="clear" w:color="auto" w:fill="FFFFFF"/>
          <w:lang w:val="en-GB" w:eastAsia="de-DE"/>
        </w:rPr>
        <w:t xml:space="preserve"> as term</w:t>
      </w:r>
      <w:r w:rsidR="00AD63F3" w:rsidRPr="00497A81">
        <w:rPr>
          <w:rFonts w:ascii="Times New Roman" w:eastAsia="Times New Roman" w:hAnsi="Times New Roman" w:cs="Times New Roman"/>
          <w:color w:val="000000"/>
          <w:sz w:val="24"/>
          <w:szCs w:val="24"/>
          <w:shd w:val="clear" w:color="auto" w:fill="FFFFFF"/>
          <w:lang w:val="en-GB" w:eastAsia="de-DE"/>
        </w:rPr>
        <w:t>s</w:t>
      </w:r>
      <w:r w:rsidR="008B3D73" w:rsidRPr="00497A81">
        <w:rPr>
          <w:rFonts w:ascii="Times New Roman" w:eastAsia="Times New Roman" w:hAnsi="Times New Roman" w:cs="Times New Roman"/>
          <w:color w:val="000000"/>
          <w:sz w:val="24"/>
          <w:szCs w:val="24"/>
          <w:shd w:val="clear" w:color="auto" w:fill="FFFFFF"/>
          <w:lang w:val="en-GB" w:eastAsia="de-DE"/>
        </w:rPr>
        <w:t xml:space="preserve"> refer again solely to the relationship between suppliers and consumers</w:t>
      </w:r>
      <w:r w:rsidR="00C47F0E" w:rsidRPr="00497A81">
        <w:rPr>
          <w:rFonts w:ascii="Times New Roman" w:eastAsia="Times New Roman" w:hAnsi="Times New Roman" w:cs="Times New Roman"/>
          <w:color w:val="000000"/>
          <w:sz w:val="24"/>
          <w:szCs w:val="24"/>
          <w:shd w:val="clear" w:color="auto" w:fill="FFFFFF"/>
          <w:lang w:val="en-GB" w:eastAsia="de-DE"/>
        </w:rPr>
        <w:t>. This standard does not go any further than considering</w:t>
      </w:r>
      <w:r w:rsidR="00AD63F3" w:rsidRPr="00497A81">
        <w:rPr>
          <w:rFonts w:ascii="Times New Roman" w:eastAsia="Times New Roman" w:hAnsi="Times New Roman" w:cs="Times New Roman"/>
          <w:color w:val="000000"/>
          <w:sz w:val="24"/>
          <w:szCs w:val="24"/>
          <w:shd w:val="clear" w:color="auto" w:fill="FFFFFF"/>
          <w:lang w:val="en-GB" w:eastAsia="de-DE"/>
        </w:rPr>
        <w:t xml:space="preserve"> the relation between consumers – in the sense that the costs </w:t>
      </w:r>
      <w:r w:rsidR="00C47F0E" w:rsidRPr="00497A81">
        <w:rPr>
          <w:rFonts w:ascii="Times New Roman" w:eastAsia="Times New Roman" w:hAnsi="Times New Roman" w:cs="Times New Roman"/>
          <w:color w:val="000000"/>
          <w:sz w:val="24"/>
          <w:szCs w:val="24"/>
          <w:shd w:val="clear" w:color="auto" w:fill="FFFFFF"/>
          <w:lang w:val="en-GB" w:eastAsia="de-DE"/>
        </w:rPr>
        <w:t xml:space="preserve">for non-vulnerable consumers </w:t>
      </w:r>
      <w:r w:rsidR="00AD63F3" w:rsidRPr="00497A81">
        <w:rPr>
          <w:rFonts w:ascii="Times New Roman" w:eastAsia="Times New Roman" w:hAnsi="Times New Roman" w:cs="Times New Roman"/>
          <w:color w:val="000000"/>
          <w:sz w:val="24"/>
          <w:szCs w:val="24"/>
          <w:shd w:val="clear" w:color="auto" w:fill="FFFFFF"/>
          <w:lang w:val="en-GB" w:eastAsia="de-DE"/>
        </w:rPr>
        <w:t>of protecti</w:t>
      </w:r>
      <w:r w:rsidR="007B4635" w:rsidRPr="00497A81">
        <w:rPr>
          <w:rFonts w:ascii="Times New Roman" w:eastAsia="Times New Roman" w:hAnsi="Times New Roman" w:cs="Times New Roman"/>
          <w:color w:val="000000"/>
          <w:sz w:val="24"/>
          <w:szCs w:val="24"/>
          <w:shd w:val="clear" w:color="auto" w:fill="FFFFFF"/>
          <w:lang w:val="en-GB" w:eastAsia="de-DE"/>
        </w:rPr>
        <w:t>ng</w:t>
      </w:r>
      <w:r w:rsidR="00AD63F3" w:rsidRPr="00497A81">
        <w:rPr>
          <w:rFonts w:ascii="Times New Roman" w:eastAsia="Times New Roman" w:hAnsi="Times New Roman" w:cs="Times New Roman"/>
          <w:color w:val="000000"/>
          <w:sz w:val="24"/>
          <w:szCs w:val="24"/>
          <w:shd w:val="clear" w:color="auto" w:fill="FFFFFF"/>
          <w:lang w:val="en-GB" w:eastAsia="de-DE"/>
        </w:rPr>
        <w:t xml:space="preserve"> vulnerable consumers need to be considered</w:t>
      </w:r>
      <w:r w:rsidR="007B4635" w:rsidRPr="00497A81">
        <w:rPr>
          <w:rFonts w:ascii="Times New Roman" w:eastAsia="Times New Roman" w:hAnsi="Times New Roman" w:cs="Times New Roman"/>
          <w:color w:val="000000"/>
          <w:sz w:val="24"/>
          <w:szCs w:val="24"/>
          <w:shd w:val="clear" w:color="auto" w:fill="FFFFFF"/>
          <w:lang w:val="en-GB" w:eastAsia="de-DE"/>
        </w:rPr>
        <w:t xml:space="preserve"> in the optimization calculus</w:t>
      </w:r>
      <w:r w:rsidR="008B3D73" w:rsidRPr="00497A81">
        <w:rPr>
          <w:rFonts w:ascii="Times New Roman" w:eastAsia="Times New Roman" w:hAnsi="Times New Roman" w:cs="Times New Roman"/>
          <w:color w:val="000000"/>
          <w:sz w:val="24"/>
          <w:szCs w:val="24"/>
          <w:shd w:val="clear" w:color="auto" w:fill="FFFFFF"/>
          <w:lang w:val="en-GB" w:eastAsia="de-DE"/>
        </w:rPr>
        <w:t>.</w:t>
      </w:r>
      <w:r w:rsidR="00C47F0E" w:rsidRPr="00497A81">
        <w:rPr>
          <w:rFonts w:ascii="Times New Roman" w:eastAsia="Times New Roman" w:hAnsi="Times New Roman" w:cs="Times New Roman"/>
          <w:color w:val="000000"/>
          <w:sz w:val="24"/>
          <w:szCs w:val="24"/>
          <w:shd w:val="clear" w:color="auto" w:fill="FFFFFF"/>
          <w:lang w:val="en-GB" w:eastAsia="de-DE"/>
        </w:rPr>
        <w:t xml:space="preserve"> </w:t>
      </w:r>
      <w:r w:rsidR="008335E7" w:rsidRPr="00497A81">
        <w:rPr>
          <w:rFonts w:ascii="Times New Roman" w:eastAsia="Times New Roman" w:hAnsi="Times New Roman" w:cs="Times New Roman"/>
          <w:color w:val="000000"/>
          <w:sz w:val="24"/>
          <w:szCs w:val="24"/>
          <w:shd w:val="clear" w:color="auto" w:fill="FFFFFF"/>
          <w:lang w:val="en-GB" w:eastAsia="de-DE"/>
        </w:rPr>
        <w:t xml:space="preserve">One could say that distinguishing a micro (allocative efficiency) and a macro (growth) market rationale already shows that our normative framework does not reduce a just society to an allocatively optimal general equilibrium. However, even considering growth </w:t>
      </w:r>
      <w:r w:rsidR="008335E7" w:rsidRPr="00497A81">
        <w:rPr>
          <w:rFonts w:ascii="Times New Roman" w:eastAsia="Times New Roman" w:hAnsi="Times New Roman" w:cs="Times New Roman"/>
          <w:color w:val="000000"/>
          <w:sz w:val="24"/>
          <w:szCs w:val="24"/>
          <w:shd w:val="clear" w:color="auto" w:fill="FFFFFF"/>
          <w:lang w:val="en-GB" w:eastAsia="de-DE"/>
        </w:rPr>
        <w:lastRenderedPageBreak/>
        <w:t xml:space="preserve">is not enough. Indeed, in a just society the distribution of resources and arguments </w:t>
      </w:r>
      <w:r w:rsidR="00704D8D" w:rsidRPr="00497A81">
        <w:rPr>
          <w:rFonts w:ascii="Times New Roman" w:eastAsia="Times New Roman" w:hAnsi="Times New Roman" w:cs="Times New Roman"/>
          <w:color w:val="000000"/>
          <w:sz w:val="24"/>
          <w:szCs w:val="24"/>
          <w:shd w:val="clear" w:color="auto" w:fill="FFFFFF"/>
          <w:lang w:val="en-GB" w:eastAsia="de-DE"/>
        </w:rPr>
        <w:t xml:space="preserve">about </w:t>
      </w:r>
      <w:r w:rsidR="008335E7" w:rsidRPr="00497A81">
        <w:rPr>
          <w:rFonts w:ascii="Times New Roman" w:eastAsia="Times New Roman" w:hAnsi="Times New Roman" w:cs="Times New Roman"/>
          <w:color w:val="000000"/>
          <w:sz w:val="24"/>
          <w:szCs w:val="24"/>
          <w:shd w:val="clear" w:color="auto" w:fill="FFFFFF"/>
          <w:lang w:val="en-GB" w:eastAsia="de-DE"/>
        </w:rPr>
        <w:t xml:space="preserve">responsibility </w:t>
      </w:r>
      <w:r w:rsidR="00CB65FA" w:rsidRPr="00497A81">
        <w:rPr>
          <w:rFonts w:ascii="Times New Roman" w:eastAsia="Times New Roman" w:hAnsi="Times New Roman" w:cs="Times New Roman"/>
          <w:color w:val="000000"/>
          <w:sz w:val="24"/>
          <w:szCs w:val="24"/>
          <w:shd w:val="clear" w:color="auto" w:fill="FFFFFF"/>
          <w:lang w:val="en-GB" w:eastAsia="de-DE"/>
        </w:rPr>
        <w:t>matter too</w:t>
      </w:r>
      <w:r w:rsidR="008335E7" w:rsidRPr="00497A81">
        <w:rPr>
          <w:rFonts w:ascii="Times New Roman" w:eastAsia="Times New Roman" w:hAnsi="Times New Roman" w:cs="Times New Roman"/>
          <w:color w:val="000000"/>
          <w:sz w:val="24"/>
          <w:szCs w:val="24"/>
          <w:shd w:val="clear" w:color="auto" w:fill="FFFFFF"/>
          <w:lang w:val="en-GB" w:eastAsia="de-DE"/>
        </w:rPr>
        <w:t>.</w:t>
      </w:r>
      <w:r w:rsidR="008335E7"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53"/>
      </w:r>
    </w:p>
    <w:p w14:paraId="3392A7B8" w14:textId="77777777" w:rsidR="000350BB" w:rsidRDefault="000350BB" w:rsidP="0038441A">
      <w:pPr>
        <w:spacing w:after="0"/>
        <w:rPr>
          <w:rFonts w:ascii="Times New Roman" w:eastAsia="Times New Roman" w:hAnsi="Times New Roman" w:cs="Times New Roman"/>
          <w:color w:val="000000"/>
          <w:sz w:val="24"/>
          <w:szCs w:val="24"/>
          <w:shd w:val="clear" w:color="auto" w:fill="FFFFFF"/>
          <w:lang w:val="en-GB" w:eastAsia="de-DE"/>
        </w:rPr>
      </w:pPr>
    </w:p>
    <w:p w14:paraId="01A51CE1" w14:textId="77777777" w:rsidR="009A1AA9" w:rsidRPr="00497A81" w:rsidRDefault="009A1AA9" w:rsidP="0038441A">
      <w:pPr>
        <w:spacing w:after="0"/>
        <w:rPr>
          <w:rFonts w:ascii="Times New Roman" w:eastAsia="Times New Roman" w:hAnsi="Times New Roman" w:cs="Times New Roman"/>
          <w:color w:val="000000"/>
          <w:sz w:val="24"/>
          <w:szCs w:val="24"/>
          <w:shd w:val="clear" w:color="auto" w:fill="FFFFFF"/>
          <w:lang w:val="en-GB" w:eastAsia="de-DE"/>
        </w:rPr>
      </w:pPr>
    </w:p>
    <w:p w14:paraId="1C391D15" w14:textId="1B08AA53" w:rsidR="008B3D73" w:rsidRPr="00497A81" w:rsidRDefault="00401D74" w:rsidP="0038441A">
      <w:pPr>
        <w:spacing w:after="0"/>
        <w:rPr>
          <w:rFonts w:ascii="Times New Roman" w:hAnsi="Times New Roman" w:cs="Times New Roman"/>
          <w:b/>
          <w:sz w:val="24"/>
          <w:szCs w:val="24"/>
          <w:lang w:val="en-GB"/>
        </w:rPr>
      </w:pPr>
      <w:r w:rsidRPr="00497A81">
        <w:rPr>
          <w:rFonts w:ascii="Times New Roman" w:hAnsi="Times New Roman" w:cs="Times New Roman"/>
          <w:b/>
          <w:sz w:val="24"/>
          <w:szCs w:val="24"/>
          <w:lang w:val="en-GB"/>
        </w:rPr>
        <w:t xml:space="preserve">III. </w:t>
      </w:r>
      <w:r w:rsidR="002A2435" w:rsidRPr="00497A81">
        <w:rPr>
          <w:rFonts w:ascii="Times New Roman" w:hAnsi="Times New Roman" w:cs="Times New Roman"/>
          <w:b/>
          <w:sz w:val="24"/>
          <w:szCs w:val="24"/>
          <w:lang w:val="en-GB"/>
        </w:rPr>
        <w:t>Regulat</w:t>
      </w:r>
      <w:r w:rsidR="002316B2" w:rsidRPr="00497A81">
        <w:rPr>
          <w:rFonts w:ascii="Times New Roman" w:hAnsi="Times New Roman" w:cs="Times New Roman"/>
          <w:b/>
          <w:sz w:val="24"/>
          <w:szCs w:val="24"/>
          <w:lang w:val="en-GB"/>
        </w:rPr>
        <w:t>ed</w:t>
      </w:r>
      <w:r w:rsidR="002A2435" w:rsidRPr="00497A81">
        <w:rPr>
          <w:rFonts w:ascii="Times New Roman" w:hAnsi="Times New Roman" w:cs="Times New Roman"/>
          <w:b/>
          <w:sz w:val="24"/>
          <w:szCs w:val="24"/>
          <w:lang w:val="en-GB"/>
        </w:rPr>
        <w:t xml:space="preserve"> Market Behaviour and Allocative Efficiency: a </w:t>
      </w:r>
      <w:r w:rsidR="007E063F" w:rsidRPr="00497A81">
        <w:rPr>
          <w:rFonts w:ascii="Times New Roman" w:hAnsi="Times New Roman" w:cs="Times New Roman"/>
          <w:b/>
          <w:sz w:val="24"/>
          <w:szCs w:val="24"/>
          <w:lang w:val="en-GB"/>
        </w:rPr>
        <w:t xml:space="preserve">Principal </w:t>
      </w:r>
      <w:r w:rsidR="002A2435" w:rsidRPr="00497A81">
        <w:rPr>
          <w:rFonts w:ascii="Times New Roman" w:hAnsi="Times New Roman" w:cs="Times New Roman"/>
          <w:b/>
          <w:sz w:val="24"/>
          <w:szCs w:val="24"/>
          <w:lang w:val="en-GB"/>
        </w:rPr>
        <w:t xml:space="preserve">Multi </w:t>
      </w:r>
      <w:r w:rsidR="007E063F" w:rsidRPr="00497A81">
        <w:rPr>
          <w:rFonts w:ascii="Times New Roman" w:hAnsi="Times New Roman" w:cs="Times New Roman"/>
          <w:b/>
          <w:sz w:val="24"/>
          <w:szCs w:val="24"/>
          <w:lang w:val="en-GB"/>
        </w:rPr>
        <w:t>Agent</w:t>
      </w:r>
      <w:r w:rsidR="002A2435" w:rsidRPr="00497A81">
        <w:rPr>
          <w:rFonts w:ascii="Times New Roman" w:hAnsi="Times New Roman" w:cs="Times New Roman"/>
          <w:b/>
          <w:sz w:val="24"/>
          <w:szCs w:val="24"/>
          <w:lang w:val="en-GB"/>
        </w:rPr>
        <w:t xml:space="preserve"> Framework</w:t>
      </w:r>
    </w:p>
    <w:p w14:paraId="13E28DE4" w14:textId="77777777" w:rsidR="007E063F" w:rsidRPr="00497A81" w:rsidRDefault="007E063F" w:rsidP="0038441A">
      <w:pPr>
        <w:spacing w:after="0"/>
        <w:rPr>
          <w:rFonts w:ascii="Times New Roman" w:hAnsi="Times New Roman" w:cs="Times New Roman"/>
          <w:b/>
          <w:sz w:val="24"/>
          <w:szCs w:val="24"/>
          <w:lang w:val="en-GB"/>
        </w:rPr>
      </w:pPr>
    </w:p>
    <w:p w14:paraId="536D4A15" w14:textId="2E664722" w:rsidR="0019311C" w:rsidRDefault="002A2435" w:rsidP="002610A1">
      <w:pPr>
        <w:spacing w:after="120" w:line="240" w:lineRule="auto"/>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 xml:space="preserve">The previous section has advanced a normative framework in which the microeconomic market rationale (allocative efficiency) is defined as aggregate consumer welfare maximization via </w:t>
      </w:r>
      <w:r w:rsidR="002C7F34">
        <w:rPr>
          <w:rFonts w:ascii="Times New Roman" w:hAnsi="Times New Roman" w:cs="Times New Roman"/>
          <w:sz w:val="24"/>
          <w:szCs w:val="24"/>
          <w:lang w:val="en-GB"/>
        </w:rPr>
        <w:t xml:space="preserve">mutual </w:t>
      </w:r>
      <w:r w:rsidRPr="00497A81">
        <w:rPr>
          <w:rFonts w:ascii="Times New Roman" w:hAnsi="Times New Roman" w:cs="Times New Roman"/>
          <w:sz w:val="24"/>
          <w:szCs w:val="24"/>
          <w:lang w:val="en-GB"/>
        </w:rPr>
        <w:t xml:space="preserve">Pareto optimal transactions. The framework then conceives of market relations as principal-agent relations between consumers and entrepreneurs. The economic pedigree of this framework was identified primarily in the consumer sovereignty literature, but </w:t>
      </w:r>
      <w:r w:rsidR="0019311C">
        <w:rPr>
          <w:rFonts w:ascii="Times New Roman" w:hAnsi="Times New Roman" w:cs="Times New Roman"/>
          <w:sz w:val="24"/>
          <w:szCs w:val="24"/>
          <w:lang w:val="en-GB"/>
        </w:rPr>
        <w:t>emphasis was put also on some of</w:t>
      </w:r>
      <w:r w:rsidRPr="00497A81">
        <w:rPr>
          <w:rFonts w:ascii="Times New Roman" w:hAnsi="Times New Roman" w:cs="Times New Roman"/>
          <w:sz w:val="24"/>
          <w:szCs w:val="24"/>
          <w:lang w:val="en-GB"/>
        </w:rPr>
        <w:t xml:space="preserve"> the conceptual difficulties </w:t>
      </w:r>
      <w:r w:rsidR="0019311C">
        <w:rPr>
          <w:rFonts w:ascii="Times New Roman" w:hAnsi="Times New Roman" w:cs="Times New Roman"/>
          <w:sz w:val="24"/>
          <w:szCs w:val="24"/>
          <w:lang w:val="en-GB"/>
        </w:rPr>
        <w:t>incurred</w:t>
      </w:r>
      <w:r w:rsidRPr="00497A81">
        <w:rPr>
          <w:rFonts w:ascii="Times New Roman" w:hAnsi="Times New Roman" w:cs="Times New Roman"/>
          <w:sz w:val="24"/>
          <w:szCs w:val="24"/>
          <w:lang w:val="en-GB"/>
        </w:rPr>
        <w:t xml:space="preserve"> when this perspective is denied. In particular, denying the normative symmetry between firm and market relations causes a conceptual incoherence that is particularly disturbing given the foundation of the choice between consumption and investment in an allocation of one</w:t>
      </w:r>
      <w:r w:rsidR="0019311C">
        <w:rPr>
          <w:rFonts w:ascii="Times New Roman" w:hAnsi="Times New Roman" w:cs="Times New Roman"/>
          <w:sz w:val="24"/>
          <w:szCs w:val="24"/>
          <w:lang w:val="en-GB"/>
        </w:rPr>
        <w:t>’</w:t>
      </w:r>
      <w:r w:rsidRPr="00497A81">
        <w:rPr>
          <w:rFonts w:ascii="Times New Roman" w:hAnsi="Times New Roman" w:cs="Times New Roman"/>
          <w:sz w:val="24"/>
          <w:szCs w:val="24"/>
          <w:lang w:val="en-GB"/>
        </w:rPr>
        <w:t xml:space="preserve">s </w:t>
      </w:r>
      <w:r w:rsidR="0019311C">
        <w:rPr>
          <w:rFonts w:ascii="Times New Roman" w:hAnsi="Times New Roman" w:cs="Times New Roman"/>
          <w:sz w:val="24"/>
          <w:szCs w:val="24"/>
          <w:lang w:val="en-GB"/>
        </w:rPr>
        <w:t>own</w:t>
      </w:r>
      <w:r w:rsidRPr="00497A81">
        <w:rPr>
          <w:rFonts w:ascii="Times New Roman" w:hAnsi="Times New Roman" w:cs="Times New Roman"/>
          <w:sz w:val="24"/>
          <w:szCs w:val="24"/>
          <w:lang w:val="en-GB"/>
        </w:rPr>
        <w:t xml:space="preserve"> economic power granted by property. Moreover, a foundational distinction in the corporate governance literature exit-voice (internal-external governance) was </w:t>
      </w:r>
      <w:r w:rsidR="00F62212" w:rsidRPr="00497A81">
        <w:rPr>
          <w:rFonts w:ascii="Times New Roman" w:hAnsi="Times New Roman" w:cs="Times New Roman"/>
          <w:sz w:val="24"/>
          <w:szCs w:val="24"/>
          <w:lang w:val="en-GB"/>
        </w:rPr>
        <w:t>originally</w:t>
      </w:r>
      <w:r w:rsidRPr="00497A81">
        <w:rPr>
          <w:rFonts w:ascii="Times New Roman" w:hAnsi="Times New Roman" w:cs="Times New Roman"/>
          <w:sz w:val="24"/>
          <w:szCs w:val="24"/>
          <w:lang w:val="en-GB"/>
        </w:rPr>
        <w:t xml:space="preserve"> conceptualized with reference to the consumer-entrepreneur relation.</w:t>
      </w:r>
      <w:r w:rsidR="005B79EF" w:rsidRPr="00497A81">
        <w:rPr>
          <w:rFonts w:ascii="Times New Roman" w:hAnsi="Times New Roman" w:cs="Times New Roman"/>
          <w:sz w:val="24"/>
          <w:szCs w:val="24"/>
          <w:lang w:val="en-GB"/>
        </w:rPr>
        <w:t xml:space="preserve"> </w:t>
      </w:r>
    </w:p>
    <w:p w14:paraId="535A16A8" w14:textId="796A708A" w:rsidR="002A2435" w:rsidRPr="00DA09BA" w:rsidRDefault="0019311C" w:rsidP="008906D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 the analysis in the previous section</w:t>
      </w:r>
      <w:r w:rsidR="00401D74" w:rsidRPr="00497A81">
        <w:rPr>
          <w:rFonts w:ascii="Times New Roman" w:hAnsi="Times New Roman" w:cs="Times New Roman"/>
          <w:sz w:val="24"/>
          <w:szCs w:val="24"/>
          <w:lang w:val="en-GB"/>
        </w:rPr>
        <w:t>, the law has remained mainly on the background, as the device allowing parties to design their principal-agent relations through contract law.</w:t>
      </w:r>
      <w:r>
        <w:rPr>
          <w:rFonts w:ascii="Times New Roman" w:hAnsi="Times New Roman" w:cs="Times New Roman"/>
          <w:sz w:val="24"/>
          <w:szCs w:val="24"/>
          <w:lang w:val="en-GB"/>
        </w:rPr>
        <w:t xml:space="preserve"> It is now necessary to enrich this framework:</w:t>
      </w:r>
      <w:r w:rsidR="005B79EF" w:rsidRPr="00497A81">
        <w:rPr>
          <w:rFonts w:ascii="Times New Roman" w:hAnsi="Times New Roman" w:cs="Times New Roman"/>
          <w:sz w:val="24"/>
          <w:szCs w:val="24"/>
          <w:lang w:val="en-GB"/>
        </w:rPr>
        <w:t xml:space="preserve"> This view of the role of the law as a neutral and passive tool is </w:t>
      </w:r>
      <w:r>
        <w:rPr>
          <w:rFonts w:ascii="Times New Roman" w:hAnsi="Times New Roman" w:cs="Times New Roman"/>
          <w:sz w:val="24"/>
          <w:szCs w:val="24"/>
          <w:lang w:val="en-GB"/>
        </w:rPr>
        <w:t xml:space="preserve">too </w:t>
      </w:r>
      <w:r w:rsidR="005B79EF" w:rsidRPr="00497A81">
        <w:rPr>
          <w:rFonts w:ascii="Times New Roman" w:hAnsi="Times New Roman" w:cs="Times New Roman"/>
          <w:sz w:val="24"/>
          <w:szCs w:val="24"/>
          <w:lang w:val="en-GB"/>
        </w:rPr>
        <w:t xml:space="preserve">reductive </w:t>
      </w:r>
      <w:r>
        <w:rPr>
          <w:rFonts w:ascii="Times New Roman" w:hAnsi="Times New Roman" w:cs="Times New Roman"/>
          <w:sz w:val="24"/>
          <w:szCs w:val="24"/>
          <w:lang w:val="en-GB"/>
        </w:rPr>
        <w:t>and simplistic</w:t>
      </w:r>
      <w:r w:rsidR="005B79EF" w:rsidRPr="00497A81">
        <w:rPr>
          <w:rFonts w:ascii="Times New Roman" w:hAnsi="Times New Roman" w:cs="Times New Roman"/>
          <w:sz w:val="24"/>
          <w:szCs w:val="24"/>
          <w:lang w:val="en-GB"/>
        </w:rPr>
        <w:t>. In this section, we take legal mechanism more seriously.</w:t>
      </w:r>
      <w:r w:rsidR="002A2435" w:rsidRPr="00497A81">
        <w:rPr>
          <w:rFonts w:ascii="Times New Roman" w:hAnsi="Times New Roman" w:cs="Times New Roman"/>
          <w:sz w:val="24"/>
          <w:szCs w:val="24"/>
          <w:lang w:val="en-GB"/>
        </w:rPr>
        <w:t xml:space="preserve"> To do so, we first look at the way in which </w:t>
      </w:r>
      <w:r w:rsidR="00401D74" w:rsidRPr="00497A81">
        <w:rPr>
          <w:rFonts w:ascii="Times New Roman" w:hAnsi="Times New Roman" w:cs="Times New Roman"/>
          <w:sz w:val="24"/>
          <w:szCs w:val="24"/>
          <w:lang w:val="en-GB"/>
        </w:rPr>
        <w:t>a principal-multi agent framework that takes into account the interplay between consumers/investors and entrepreneurs</w:t>
      </w:r>
      <w:r>
        <w:rPr>
          <w:rFonts w:ascii="Times New Roman" w:hAnsi="Times New Roman" w:cs="Times New Roman"/>
          <w:sz w:val="24"/>
          <w:szCs w:val="24"/>
          <w:lang w:val="en-GB"/>
        </w:rPr>
        <w:t>/managers</w:t>
      </w:r>
      <w:r w:rsidR="00401D74" w:rsidRPr="00497A81">
        <w:rPr>
          <w:rFonts w:ascii="Times New Roman" w:hAnsi="Times New Roman" w:cs="Times New Roman"/>
          <w:sz w:val="24"/>
          <w:szCs w:val="24"/>
          <w:lang w:val="en-GB"/>
        </w:rPr>
        <w:t xml:space="preserve"> as well as the legal system can look like. Then, we show that these elements are present in the foundations of EU consumer and corporate policies.</w:t>
      </w:r>
      <w:r w:rsidR="002316B2" w:rsidRPr="00497A81">
        <w:rPr>
          <w:rFonts w:ascii="Times New Roman" w:hAnsi="Times New Roman" w:cs="Times New Roman"/>
          <w:sz w:val="24"/>
          <w:szCs w:val="24"/>
          <w:lang w:val="en-GB"/>
        </w:rPr>
        <w:t xml:space="preserve"> </w:t>
      </w:r>
    </w:p>
    <w:p w14:paraId="0EC5C423" w14:textId="77777777" w:rsidR="002A2435" w:rsidRPr="00497A81" w:rsidRDefault="002A2435" w:rsidP="0038441A">
      <w:pPr>
        <w:spacing w:after="0"/>
        <w:rPr>
          <w:rFonts w:ascii="Times New Roman" w:hAnsi="Times New Roman" w:cs="Times New Roman"/>
          <w:b/>
          <w:sz w:val="24"/>
          <w:szCs w:val="24"/>
          <w:lang w:val="en-GB"/>
        </w:rPr>
      </w:pPr>
    </w:p>
    <w:p w14:paraId="09A9D016" w14:textId="51FBCF28" w:rsidR="002316B2" w:rsidRPr="00497A81" w:rsidRDefault="002316B2" w:rsidP="0038441A">
      <w:pPr>
        <w:spacing w:after="0"/>
        <w:rPr>
          <w:rFonts w:ascii="Times New Roman" w:hAnsi="Times New Roman" w:cs="Times New Roman"/>
          <w:b/>
          <w:sz w:val="24"/>
          <w:szCs w:val="24"/>
          <w:lang w:val="en-GB"/>
        </w:rPr>
      </w:pPr>
      <w:r w:rsidRPr="00497A81">
        <w:rPr>
          <w:rFonts w:ascii="Times New Roman" w:hAnsi="Times New Roman" w:cs="Times New Roman"/>
          <w:b/>
          <w:sz w:val="24"/>
          <w:szCs w:val="24"/>
          <w:lang w:val="en-GB"/>
        </w:rPr>
        <w:t xml:space="preserve">1. Building the Principal Multi Agent Framework </w:t>
      </w:r>
    </w:p>
    <w:p w14:paraId="1B80AA45" w14:textId="77777777" w:rsidR="002316B2" w:rsidRPr="00497A81" w:rsidRDefault="002316B2" w:rsidP="0038441A">
      <w:pPr>
        <w:spacing w:after="0"/>
        <w:rPr>
          <w:rFonts w:ascii="Times New Roman" w:hAnsi="Times New Roman" w:cs="Times New Roman"/>
          <w:b/>
          <w:sz w:val="24"/>
          <w:szCs w:val="24"/>
          <w:lang w:val="en-GB"/>
        </w:rPr>
      </w:pPr>
    </w:p>
    <w:p w14:paraId="023A6832" w14:textId="201084A1" w:rsidR="00E134BA" w:rsidRPr="00497A81" w:rsidRDefault="002316B2" w:rsidP="002610A1">
      <w:pPr>
        <w:spacing w:after="120" w:line="240" w:lineRule="auto"/>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 xml:space="preserve">A principal multi agent model describes different </w:t>
      </w:r>
      <w:r w:rsidR="004B2989">
        <w:rPr>
          <w:rFonts w:ascii="Times New Roman" w:hAnsi="Times New Roman" w:cs="Times New Roman"/>
          <w:sz w:val="24"/>
          <w:szCs w:val="24"/>
          <w:lang w:val="en-GB"/>
        </w:rPr>
        <w:t xml:space="preserve">modes of </w:t>
      </w:r>
      <w:r w:rsidRPr="00497A81">
        <w:rPr>
          <w:rFonts w:ascii="Times New Roman" w:hAnsi="Times New Roman" w:cs="Times New Roman"/>
          <w:sz w:val="24"/>
          <w:szCs w:val="24"/>
          <w:lang w:val="en-GB"/>
        </w:rPr>
        <w:t>interact</w:t>
      </w:r>
      <w:r w:rsidR="004B2989">
        <w:rPr>
          <w:rFonts w:ascii="Times New Roman" w:hAnsi="Times New Roman" w:cs="Times New Roman"/>
          <w:sz w:val="24"/>
          <w:szCs w:val="24"/>
          <w:lang w:val="en-GB"/>
        </w:rPr>
        <w:t>ion between agents and ranks them as means</w:t>
      </w:r>
      <w:r w:rsidRPr="00497A81">
        <w:rPr>
          <w:rFonts w:ascii="Times New Roman" w:hAnsi="Times New Roman" w:cs="Times New Roman"/>
          <w:sz w:val="24"/>
          <w:szCs w:val="24"/>
          <w:lang w:val="en-GB"/>
        </w:rPr>
        <w:t xml:space="preserve"> to end of fostering the interest of the principal.</w:t>
      </w:r>
      <w:r w:rsidR="002A676D" w:rsidRPr="00497A81">
        <w:rPr>
          <w:rFonts w:ascii="Times New Roman" w:hAnsi="Times New Roman" w:cs="Times New Roman"/>
          <w:sz w:val="24"/>
          <w:szCs w:val="24"/>
          <w:lang w:val="en-GB"/>
        </w:rPr>
        <w:t xml:space="preserve"> </w:t>
      </w:r>
      <w:r w:rsidRPr="00497A81">
        <w:rPr>
          <w:rFonts w:ascii="Times New Roman" w:hAnsi="Times New Roman" w:cs="Times New Roman"/>
          <w:sz w:val="24"/>
          <w:szCs w:val="24"/>
          <w:lang w:val="en-GB"/>
        </w:rPr>
        <w:t>Quite interestingly, Hol</w:t>
      </w:r>
      <w:r w:rsidR="0019311C">
        <w:rPr>
          <w:rFonts w:ascii="Times New Roman" w:hAnsi="Times New Roman" w:cs="Times New Roman"/>
          <w:sz w:val="24"/>
          <w:szCs w:val="24"/>
          <w:lang w:val="en-GB"/>
        </w:rPr>
        <w:t>mstr</w:t>
      </w:r>
      <w:r w:rsidR="00DE55A7">
        <w:rPr>
          <w:rFonts w:ascii="Times New Roman" w:hAnsi="Times New Roman" w:cs="Times New Roman"/>
          <w:sz w:val="24"/>
          <w:szCs w:val="24"/>
          <w:lang w:val="en-GB"/>
        </w:rPr>
        <w:t>ö</w:t>
      </w:r>
      <w:r w:rsidR="0019311C">
        <w:rPr>
          <w:rFonts w:ascii="Times New Roman" w:hAnsi="Times New Roman" w:cs="Times New Roman"/>
          <w:sz w:val="24"/>
          <w:szCs w:val="24"/>
          <w:lang w:val="en-GB"/>
        </w:rPr>
        <w:t>m’s</w:t>
      </w:r>
      <w:r w:rsidRPr="00497A81">
        <w:rPr>
          <w:rFonts w:ascii="Times New Roman" w:hAnsi="Times New Roman" w:cs="Times New Roman"/>
          <w:sz w:val="24"/>
          <w:szCs w:val="24"/>
          <w:lang w:val="en-GB"/>
        </w:rPr>
        <w:t xml:space="preserve"> foundational contribution to this literature was inspired by the research </w:t>
      </w:r>
      <w:r w:rsidR="000E43AA">
        <w:rPr>
          <w:rFonts w:ascii="Times New Roman" w:hAnsi="Times New Roman" w:cs="Times New Roman"/>
          <w:sz w:val="24"/>
          <w:szCs w:val="24"/>
          <w:lang w:val="en-GB"/>
        </w:rPr>
        <w:t>in corporate governance assuming the property conception of the firm</w:t>
      </w:r>
      <w:r w:rsidRPr="00497A81">
        <w:rPr>
          <w:rFonts w:ascii="Times New Roman" w:hAnsi="Times New Roman" w:cs="Times New Roman"/>
          <w:sz w:val="24"/>
          <w:szCs w:val="24"/>
          <w:lang w:val="en-GB"/>
        </w:rPr>
        <w:t>.</w:t>
      </w:r>
      <w:r w:rsidR="0019311C">
        <w:rPr>
          <w:rStyle w:val="Rimandonotaapidipagina"/>
          <w:rFonts w:ascii="Times New Roman" w:hAnsi="Times New Roman" w:cs="Times New Roman"/>
          <w:sz w:val="24"/>
          <w:szCs w:val="24"/>
          <w:lang w:val="en-GB"/>
        </w:rPr>
        <w:footnoteReference w:id="54"/>
      </w:r>
      <w:r w:rsidR="00D929D5" w:rsidRPr="00497A81">
        <w:rPr>
          <w:rFonts w:ascii="Times New Roman" w:hAnsi="Times New Roman" w:cs="Times New Roman"/>
          <w:sz w:val="24"/>
          <w:szCs w:val="24"/>
          <w:lang w:val="en-GB"/>
        </w:rPr>
        <w:t xml:space="preserve"> Agents constitute a team and we refer to their actions as teamwork.</w:t>
      </w:r>
      <w:r w:rsidRPr="00497A81">
        <w:rPr>
          <w:rFonts w:ascii="Times New Roman" w:hAnsi="Times New Roman" w:cs="Times New Roman"/>
          <w:sz w:val="24"/>
          <w:szCs w:val="24"/>
          <w:lang w:val="en-GB"/>
        </w:rPr>
        <w:t xml:space="preserve"> Unfortunately, the </w:t>
      </w:r>
      <w:r w:rsidR="004B2989">
        <w:rPr>
          <w:rFonts w:ascii="Times New Roman" w:hAnsi="Times New Roman" w:cs="Times New Roman"/>
          <w:sz w:val="24"/>
          <w:szCs w:val="24"/>
          <w:lang w:val="en-GB"/>
        </w:rPr>
        <w:t>standard</w:t>
      </w:r>
      <w:r w:rsidR="00633503" w:rsidRPr="00497A81">
        <w:rPr>
          <w:rFonts w:ascii="Times New Roman" w:hAnsi="Times New Roman" w:cs="Times New Roman"/>
          <w:sz w:val="24"/>
          <w:szCs w:val="24"/>
          <w:lang w:val="en-GB"/>
        </w:rPr>
        <w:t xml:space="preserve"> </w:t>
      </w:r>
      <w:r w:rsidRPr="00497A81">
        <w:rPr>
          <w:rFonts w:ascii="Times New Roman" w:hAnsi="Times New Roman" w:cs="Times New Roman"/>
          <w:sz w:val="24"/>
          <w:szCs w:val="24"/>
          <w:lang w:val="en-GB"/>
        </w:rPr>
        <w:t xml:space="preserve">economic </w:t>
      </w:r>
      <w:r w:rsidR="00633503" w:rsidRPr="00497A81">
        <w:rPr>
          <w:rFonts w:ascii="Times New Roman" w:hAnsi="Times New Roman" w:cs="Times New Roman"/>
          <w:sz w:val="24"/>
          <w:szCs w:val="24"/>
          <w:lang w:val="en-GB"/>
        </w:rPr>
        <w:t>analyses</w:t>
      </w:r>
      <w:r w:rsidRPr="00497A81">
        <w:rPr>
          <w:rFonts w:ascii="Times New Roman" w:hAnsi="Times New Roman" w:cs="Times New Roman"/>
          <w:sz w:val="24"/>
          <w:szCs w:val="24"/>
          <w:lang w:val="en-GB"/>
        </w:rPr>
        <w:t xml:space="preserve"> o</w:t>
      </w:r>
      <w:r w:rsidR="002A676D" w:rsidRPr="00497A81">
        <w:rPr>
          <w:rFonts w:ascii="Times New Roman" w:hAnsi="Times New Roman" w:cs="Times New Roman"/>
          <w:sz w:val="24"/>
          <w:szCs w:val="24"/>
          <w:lang w:val="en-GB"/>
        </w:rPr>
        <w:t>f</w:t>
      </w:r>
      <w:r w:rsidRPr="00497A81">
        <w:rPr>
          <w:rFonts w:ascii="Times New Roman" w:hAnsi="Times New Roman" w:cs="Times New Roman"/>
          <w:sz w:val="24"/>
          <w:szCs w:val="24"/>
          <w:lang w:val="en-GB"/>
        </w:rPr>
        <w:t xml:space="preserve"> this topic does not seem particularly useful for</w:t>
      </w:r>
      <w:r w:rsidR="008C019A" w:rsidRPr="00497A81">
        <w:rPr>
          <w:rFonts w:ascii="Times New Roman" w:hAnsi="Times New Roman" w:cs="Times New Roman"/>
          <w:sz w:val="24"/>
          <w:szCs w:val="24"/>
          <w:lang w:val="en-GB"/>
        </w:rPr>
        <w:t xml:space="preserve"> current purposes.</w:t>
      </w:r>
      <w:r w:rsidR="004B2989">
        <w:rPr>
          <w:rStyle w:val="Rimandonotaapidipagina"/>
          <w:rFonts w:ascii="Times New Roman" w:hAnsi="Times New Roman" w:cs="Times New Roman"/>
          <w:sz w:val="24"/>
          <w:szCs w:val="24"/>
          <w:lang w:val="en-GB"/>
        </w:rPr>
        <w:footnoteReference w:id="55"/>
      </w:r>
      <w:r w:rsidR="008C019A" w:rsidRPr="00497A81">
        <w:rPr>
          <w:rFonts w:ascii="Times New Roman" w:hAnsi="Times New Roman" w:cs="Times New Roman"/>
          <w:sz w:val="24"/>
          <w:szCs w:val="24"/>
          <w:lang w:val="en-GB"/>
        </w:rPr>
        <w:t xml:space="preserve"> The agents</w:t>
      </w:r>
      <w:r w:rsidR="002A676D" w:rsidRPr="00497A81">
        <w:rPr>
          <w:rFonts w:ascii="Times New Roman" w:hAnsi="Times New Roman" w:cs="Times New Roman"/>
          <w:sz w:val="24"/>
          <w:szCs w:val="24"/>
          <w:lang w:val="en-GB"/>
        </w:rPr>
        <w:t xml:space="preserve"> generally</w:t>
      </w:r>
      <w:r w:rsidR="008C019A" w:rsidRPr="00497A81">
        <w:rPr>
          <w:rFonts w:ascii="Times New Roman" w:hAnsi="Times New Roman" w:cs="Times New Roman"/>
          <w:sz w:val="24"/>
          <w:szCs w:val="24"/>
          <w:lang w:val="en-GB"/>
        </w:rPr>
        <w:t xml:space="preserve"> have homogeneous roles; the strategies are simple, abstract and categorical</w:t>
      </w:r>
      <w:r w:rsidR="00633503" w:rsidRPr="00497A81">
        <w:rPr>
          <w:rFonts w:ascii="Times New Roman" w:hAnsi="Times New Roman" w:cs="Times New Roman"/>
          <w:sz w:val="24"/>
          <w:szCs w:val="24"/>
          <w:lang w:val="en-GB"/>
        </w:rPr>
        <w:t>; t</w:t>
      </w:r>
      <w:r w:rsidR="008C019A" w:rsidRPr="00497A81">
        <w:rPr>
          <w:rFonts w:ascii="Times New Roman" w:hAnsi="Times New Roman" w:cs="Times New Roman"/>
          <w:sz w:val="24"/>
          <w:szCs w:val="24"/>
          <w:lang w:val="en-GB"/>
        </w:rPr>
        <w:t xml:space="preserve">he focus is on agency costs. Hoping for more granularity </w:t>
      </w:r>
      <w:r w:rsidR="00633503" w:rsidRPr="00497A81">
        <w:rPr>
          <w:rFonts w:ascii="Times New Roman" w:hAnsi="Times New Roman" w:cs="Times New Roman"/>
          <w:sz w:val="24"/>
          <w:szCs w:val="24"/>
          <w:lang w:val="en-GB"/>
        </w:rPr>
        <w:t>and interdisciplinary dialogue</w:t>
      </w:r>
      <w:r w:rsidR="00633503" w:rsidRPr="00497A81">
        <w:rPr>
          <w:rStyle w:val="Rimandonotaapidipagina"/>
          <w:rFonts w:ascii="Times New Roman" w:hAnsi="Times New Roman" w:cs="Times New Roman"/>
          <w:sz w:val="24"/>
          <w:szCs w:val="24"/>
          <w:lang w:val="en-GB"/>
        </w:rPr>
        <w:footnoteReference w:id="56"/>
      </w:r>
      <w:r w:rsidR="00633503" w:rsidRPr="00497A81">
        <w:rPr>
          <w:rFonts w:ascii="Times New Roman" w:hAnsi="Times New Roman" w:cs="Times New Roman"/>
          <w:sz w:val="24"/>
          <w:szCs w:val="24"/>
          <w:lang w:val="en-GB"/>
        </w:rPr>
        <w:t xml:space="preserve"> </w:t>
      </w:r>
      <w:r w:rsidR="008C019A" w:rsidRPr="00497A81">
        <w:rPr>
          <w:rFonts w:ascii="Times New Roman" w:hAnsi="Times New Roman" w:cs="Times New Roman"/>
          <w:sz w:val="24"/>
          <w:szCs w:val="24"/>
          <w:lang w:val="en-GB"/>
        </w:rPr>
        <w:t>in the future, in the meantime we look</w:t>
      </w:r>
      <w:r w:rsidR="004B2989">
        <w:rPr>
          <w:rFonts w:ascii="Times New Roman" w:hAnsi="Times New Roman" w:cs="Times New Roman"/>
          <w:sz w:val="24"/>
          <w:szCs w:val="24"/>
          <w:lang w:val="en-GB"/>
        </w:rPr>
        <w:t>ed</w:t>
      </w:r>
      <w:r w:rsidR="008C019A" w:rsidRPr="00497A81">
        <w:rPr>
          <w:rFonts w:ascii="Times New Roman" w:hAnsi="Times New Roman" w:cs="Times New Roman"/>
          <w:sz w:val="24"/>
          <w:szCs w:val="24"/>
          <w:lang w:val="en-GB"/>
        </w:rPr>
        <w:t xml:space="preserve"> somewhere else. We build on what we consider a truly seminal article by Clayton Gillette, for current purposes but perhaps </w:t>
      </w:r>
      <w:r w:rsidR="00633503" w:rsidRPr="00497A81">
        <w:rPr>
          <w:rFonts w:ascii="Times New Roman" w:hAnsi="Times New Roman" w:cs="Times New Roman"/>
          <w:sz w:val="24"/>
          <w:szCs w:val="24"/>
          <w:lang w:val="en-GB"/>
        </w:rPr>
        <w:t>even</w:t>
      </w:r>
      <w:r w:rsidR="008C019A" w:rsidRPr="00497A81">
        <w:rPr>
          <w:rFonts w:ascii="Times New Roman" w:hAnsi="Times New Roman" w:cs="Times New Roman"/>
          <w:sz w:val="24"/>
          <w:szCs w:val="24"/>
          <w:lang w:val="en-GB"/>
        </w:rPr>
        <w:t xml:space="preserve"> beyond, and on a more recent contribution, notably co-authored by two of the most prominent figures in the current American law and economics literature, Cass Sunstein and Oren Bar-Gill. </w:t>
      </w:r>
      <w:r w:rsidR="006412DC" w:rsidRPr="00497A81">
        <w:rPr>
          <w:rFonts w:ascii="Times New Roman" w:hAnsi="Times New Roman" w:cs="Times New Roman"/>
          <w:sz w:val="24"/>
          <w:szCs w:val="24"/>
          <w:lang w:val="en-GB"/>
        </w:rPr>
        <w:t>Gillette, in particular,</w:t>
      </w:r>
      <w:r w:rsidR="007D140A" w:rsidRPr="00497A81">
        <w:rPr>
          <w:rFonts w:ascii="Times New Roman" w:hAnsi="Times New Roman" w:cs="Times New Roman"/>
          <w:sz w:val="24"/>
          <w:szCs w:val="24"/>
          <w:lang w:val="en-GB"/>
        </w:rPr>
        <w:t xml:space="preserve"> offer</w:t>
      </w:r>
      <w:r w:rsidR="006412DC" w:rsidRPr="00497A81">
        <w:rPr>
          <w:rFonts w:ascii="Times New Roman" w:hAnsi="Times New Roman" w:cs="Times New Roman"/>
          <w:sz w:val="24"/>
          <w:szCs w:val="24"/>
          <w:lang w:val="en-GB"/>
        </w:rPr>
        <w:t>s</w:t>
      </w:r>
      <w:r w:rsidR="007D140A" w:rsidRPr="00497A81">
        <w:rPr>
          <w:rFonts w:ascii="Times New Roman" w:hAnsi="Times New Roman" w:cs="Times New Roman"/>
          <w:sz w:val="24"/>
          <w:szCs w:val="24"/>
          <w:lang w:val="en-GB"/>
        </w:rPr>
        <w:t xml:space="preserve"> a</w:t>
      </w:r>
      <w:r w:rsidR="004B2989">
        <w:rPr>
          <w:rFonts w:ascii="Times New Roman" w:hAnsi="Times New Roman" w:cs="Times New Roman"/>
          <w:sz w:val="24"/>
          <w:szCs w:val="24"/>
          <w:lang w:val="en-GB"/>
        </w:rPr>
        <w:t>n</w:t>
      </w:r>
      <w:r w:rsidR="007D140A" w:rsidRPr="00497A81">
        <w:rPr>
          <w:rFonts w:ascii="Times New Roman" w:hAnsi="Times New Roman" w:cs="Times New Roman"/>
          <w:sz w:val="24"/>
          <w:szCs w:val="24"/>
          <w:lang w:val="en-GB"/>
        </w:rPr>
        <w:t xml:space="preserve"> </w:t>
      </w:r>
      <w:r w:rsidR="00633503" w:rsidRPr="00497A81">
        <w:rPr>
          <w:rFonts w:ascii="Times New Roman" w:hAnsi="Times New Roman" w:cs="Times New Roman"/>
          <w:sz w:val="24"/>
          <w:szCs w:val="24"/>
          <w:lang w:val="en-GB"/>
        </w:rPr>
        <w:t>analysi</w:t>
      </w:r>
      <w:r w:rsidR="007D140A" w:rsidRPr="00497A81">
        <w:rPr>
          <w:rFonts w:ascii="Times New Roman" w:hAnsi="Times New Roman" w:cs="Times New Roman"/>
          <w:sz w:val="24"/>
          <w:szCs w:val="24"/>
          <w:lang w:val="en-GB"/>
        </w:rPr>
        <w:t>s of the interplay between the different agents available in a r</w:t>
      </w:r>
      <w:r w:rsidR="00633503" w:rsidRPr="00497A81">
        <w:rPr>
          <w:rFonts w:ascii="Times New Roman" w:hAnsi="Times New Roman" w:cs="Times New Roman"/>
          <w:sz w:val="24"/>
          <w:szCs w:val="24"/>
          <w:lang w:val="en-GB"/>
        </w:rPr>
        <w:t>egulated market process namely</w:t>
      </w:r>
      <w:r w:rsidR="007D140A" w:rsidRPr="00497A81">
        <w:rPr>
          <w:rFonts w:ascii="Times New Roman" w:hAnsi="Times New Roman" w:cs="Times New Roman"/>
          <w:sz w:val="24"/>
          <w:szCs w:val="24"/>
          <w:lang w:val="en-GB"/>
        </w:rPr>
        <w:t xml:space="preserve"> consumers, entrepreneurs, and the l</w:t>
      </w:r>
      <w:r w:rsidR="00633503" w:rsidRPr="00497A81">
        <w:rPr>
          <w:rFonts w:ascii="Times New Roman" w:hAnsi="Times New Roman" w:cs="Times New Roman"/>
          <w:sz w:val="24"/>
          <w:szCs w:val="24"/>
          <w:lang w:val="en-GB"/>
        </w:rPr>
        <w:t>egal system</w:t>
      </w:r>
      <w:r w:rsidR="007D140A" w:rsidRPr="00497A81">
        <w:rPr>
          <w:rFonts w:ascii="Times New Roman" w:hAnsi="Times New Roman" w:cs="Times New Roman"/>
          <w:sz w:val="24"/>
          <w:szCs w:val="24"/>
          <w:lang w:val="en-GB"/>
        </w:rPr>
        <w:t>.</w:t>
      </w:r>
      <w:r w:rsidR="005672DE" w:rsidRPr="00497A81">
        <w:rPr>
          <w:rFonts w:ascii="Times New Roman" w:hAnsi="Times New Roman" w:cs="Times New Roman"/>
          <w:sz w:val="24"/>
          <w:szCs w:val="24"/>
          <w:lang w:val="en-GB"/>
        </w:rPr>
        <w:t xml:space="preserve"> </w:t>
      </w:r>
      <w:r w:rsidR="004B2989">
        <w:rPr>
          <w:rFonts w:ascii="Times New Roman" w:hAnsi="Times New Roman" w:cs="Times New Roman"/>
          <w:sz w:val="24"/>
          <w:szCs w:val="24"/>
          <w:lang w:val="en-GB"/>
        </w:rPr>
        <w:t xml:space="preserve">However, the most interesting part of </w:t>
      </w:r>
      <w:r w:rsidR="004B2989">
        <w:rPr>
          <w:rFonts w:ascii="Times New Roman" w:hAnsi="Times New Roman" w:cs="Times New Roman"/>
          <w:sz w:val="24"/>
          <w:szCs w:val="24"/>
          <w:lang w:val="en-GB"/>
        </w:rPr>
        <w:lastRenderedPageBreak/>
        <w:t xml:space="preserve">his work consists in a nuanced reconstruction of the teamwork of the primary agents. </w:t>
      </w:r>
      <w:r w:rsidR="006412DC" w:rsidRPr="00497A81">
        <w:rPr>
          <w:rFonts w:ascii="Times New Roman" w:hAnsi="Times New Roman" w:cs="Times New Roman"/>
          <w:sz w:val="24"/>
          <w:szCs w:val="24"/>
          <w:lang w:val="en-GB"/>
        </w:rPr>
        <w:t xml:space="preserve">Sunstein and Bar-Gill, instead, accept the framework developed by Gillette, but are actually more interested in the interplay between the </w:t>
      </w:r>
      <w:r w:rsidR="004B2989">
        <w:rPr>
          <w:rFonts w:ascii="Times New Roman" w:hAnsi="Times New Roman" w:cs="Times New Roman"/>
          <w:sz w:val="24"/>
          <w:szCs w:val="24"/>
          <w:lang w:val="en-GB"/>
        </w:rPr>
        <w:t xml:space="preserve">single </w:t>
      </w:r>
      <w:r w:rsidR="006412DC" w:rsidRPr="00497A81">
        <w:rPr>
          <w:rFonts w:ascii="Times New Roman" w:hAnsi="Times New Roman" w:cs="Times New Roman"/>
          <w:sz w:val="24"/>
          <w:szCs w:val="24"/>
          <w:lang w:val="en-GB"/>
        </w:rPr>
        <w:t>individual and the legal system. In fact, they offer a general conception of regulation as delegation, in which not only the legal system acts as agent</w:t>
      </w:r>
      <w:r w:rsidR="004B2989">
        <w:rPr>
          <w:rFonts w:ascii="Times New Roman" w:hAnsi="Times New Roman" w:cs="Times New Roman"/>
          <w:sz w:val="24"/>
          <w:szCs w:val="24"/>
          <w:lang w:val="en-GB"/>
        </w:rPr>
        <w:t xml:space="preserve"> of individual principals</w:t>
      </w:r>
      <w:r w:rsidR="006412DC" w:rsidRPr="00497A81">
        <w:rPr>
          <w:rFonts w:ascii="Times New Roman" w:hAnsi="Times New Roman" w:cs="Times New Roman"/>
          <w:sz w:val="24"/>
          <w:szCs w:val="24"/>
          <w:lang w:val="en-GB"/>
        </w:rPr>
        <w:t>, but can also enlist individuals as agents of its own agenda (“reverse regulation”).</w:t>
      </w:r>
      <w:r w:rsidR="002A676D" w:rsidRPr="00497A81">
        <w:rPr>
          <w:rFonts w:ascii="Times New Roman" w:hAnsi="Times New Roman" w:cs="Times New Roman"/>
          <w:sz w:val="24"/>
          <w:szCs w:val="24"/>
          <w:lang w:val="en-GB"/>
        </w:rPr>
        <w:t xml:space="preserve"> </w:t>
      </w:r>
    </w:p>
    <w:p w14:paraId="5680901B" w14:textId="57F84D93" w:rsidR="00A043E7" w:rsidRPr="00497A81" w:rsidRDefault="00A043E7" w:rsidP="008906D8">
      <w:pPr>
        <w:spacing w:after="0"/>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In what follows, we start w</w:t>
      </w:r>
      <w:r w:rsidR="002C3E55" w:rsidRPr="00497A81">
        <w:rPr>
          <w:rFonts w:ascii="Times New Roman" w:hAnsi="Times New Roman" w:cs="Times New Roman"/>
          <w:sz w:val="24"/>
          <w:szCs w:val="24"/>
          <w:lang w:val="en-GB"/>
        </w:rPr>
        <w:t>ith</w:t>
      </w:r>
      <w:r w:rsidRPr="00497A81">
        <w:rPr>
          <w:rFonts w:ascii="Times New Roman" w:hAnsi="Times New Roman" w:cs="Times New Roman"/>
          <w:sz w:val="24"/>
          <w:szCs w:val="24"/>
          <w:lang w:val="en-GB"/>
        </w:rPr>
        <w:t xml:space="preserve"> Sunstein and Bar-Gill’s framework and then move to Gillette’s.</w:t>
      </w:r>
      <w:r w:rsidR="002C3E55" w:rsidRPr="00497A81">
        <w:rPr>
          <w:rFonts w:ascii="Times New Roman" w:hAnsi="Times New Roman" w:cs="Times New Roman"/>
          <w:sz w:val="24"/>
          <w:szCs w:val="24"/>
          <w:lang w:val="en-GB"/>
        </w:rPr>
        <w:t xml:space="preserve"> The reason is that Sunstein and Bar-Gill’s framework is much more detailed from the perspective we are more interested into, namely, the role played by regulation in our principal multi agent framework.</w:t>
      </w:r>
      <w:r w:rsidRPr="00497A81">
        <w:rPr>
          <w:rFonts w:ascii="Times New Roman" w:hAnsi="Times New Roman" w:cs="Times New Roman"/>
          <w:sz w:val="24"/>
          <w:szCs w:val="24"/>
          <w:lang w:val="en-GB"/>
        </w:rPr>
        <w:t xml:space="preserve"> Note that the purpose is purely analytical. We have no interest here in discussing the normative desirability of the different forms of teamwork. What we are interested into is looking at the aforementioned policies and directives in this and the next section</w:t>
      </w:r>
      <w:r w:rsidR="004B2989">
        <w:rPr>
          <w:rFonts w:ascii="Times New Roman" w:hAnsi="Times New Roman" w:cs="Times New Roman"/>
          <w:sz w:val="24"/>
          <w:szCs w:val="24"/>
          <w:lang w:val="en-GB"/>
        </w:rPr>
        <w:t>s</w:t>
      </w:r>
      <w:r w:rsidRPr="00497A81">
        <w:rPr>
          <w:rFonts w:ascii="Times New Roman" w:hAnsi="Times New Roman" w:cs="Times New Roman"/>
          <w:sz w:val="24"/>
          <w:szCs w:val="24"/>
          <w:lang w:val="en-GB"/>
        </w:rPr>
        <w:t xml:space="preserve"> on the basis of a principled framework that allows to qualify different forms of intervention as expression of a principal multi agent approach, with consumers as principals.</w:t>
      </w:r>
    </w:p>
    <w:p w14:paraId="463EB93C" w14:textId="77777777" w:rsidR="00E134BA" w:rsidRPr="00497A81" w:rsidRDefault="00E134BA" w:rsidP="008906D8">
      <w:pPr>
        <w:spacing w:after="0"/>
        <w:jc w:val="both"/>
        <w:rPr>
          <w:rFonts w:ascii="Times New Roman" w:hAnsi="Times New Roman" w:cs="Times New Roman"/>
          <w:sz w:val="24"/>
          <w:szCs w:val="24"/>
          <w:lang w:val="en-GB"/>
        </w:rPr>
      </w:pPr>
    </w:p>
    <w:p w14:paraId="311AED15" w14:textId="721BCF30" w:rsidR="006412DC" w:rsidRPr="00497A81" w:rsidRDefault="00E134BA" w:rsidP="002610A1">
      <w:pPr>
        <w:spacing w:after="120" w:line="240" w:lineRule="auto"/>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a) Sunstein and Bar-Gill’s focus on regulation</w:t>
      </w:r>
      <w:r w:rsidR="002A676D" w:rsidRPr="00497A81">
        <w:rPr>
          <w:rFonts w:ascii="Times New Roman" w:hAnsi="Times New Roman" w:cs="Times New Roman"/>
          <w:sz w:val="24"/>
          <w:szCs w:val="24"/>
          <w:lang w:val="en-GB"/>
        </w:rPr>
        <w:t xml:space="preserve"> suggests that an interesting way to reconstruct this three agents model is that of considering consumers and entrepreneurs as primary agents and the legal system as monitoring agent of the primary agents.</w:t>
      </w:r>
      <w:r w:rsidR="002A676D" w:rsidRPr="00497A81">
        <w:rPr>
          <w:rStyle w:val="Rimandonotaapidipagina"/>
          <w:rFonts w:ascii="Times New Roman" w:hAnsi="Times New Roman" w:cs="Times New Roman"/>
          <w:sz w:val="24"/>
          <w:szCs w:val="24"/>
          <w:lang w:val="en-GB"/>
        </w:rPr>
        <w:footnoteReference w:id="57"/>
      </w:r>
      <w:r w:rsidR="002A676D" w:rsidRPr="00497A81">
        <w:rPr>
          <w:rFonts w:ascii="Times New Roman" w:hAnsi="Times New Roman" w:cs="Times New Roman"/>
          <w:sz w:val="24"/>
          <w:szCs w:val="24"/>
          <w:lang w:val="en-GB"/>
        </w:rPr>
        <w:t xml:space="preserve"> In this way, our approach is practically a different reconstruction of the correcting market failures approach, in which the legal system intervenes in market relations to the extent these relations are, to some extent, defective. As a monitoring agent, the legal system has </w:t>
      </w:r>
      <w:r w:rsidR="00D929D5" w:rsidRPr="00497A81">
        <w:rPr>
          <w:rFonts w:ascii="Times New Roman" w:hAnsi="Times New Roman" w:cs="Times New Roman"/>
          <w:sz w:val="24"/>
          <w:szCs w:val="24"/>
          <w:lang w:val="en-GB"/>
        </w:rPr>
        <w:t xml:space="preserve">six strategies on a spectrum from no delegation to full delegation. In case of no delegation, the legal system remains on the background, giving full enforcement to whatever transaction results from the teamwork of primary agents. In case of full delegation, the legal system determines unilaterally, via mandatory rules, one or more attributes of the transaction. Importantly, </w:t>
      </w:r>
      <w:r w:rsidR="004F5B23" w:rsidRPr="00497A81">
        <w:rPr>
          <w:rFonts w:ascii="Times New Roman" w:hAnsi="Times New Roman" w:cs="Times New Roman"/>
          <w:sz w:val="24"/>
          <w:szCs w:val="24"/>
          <w:lang w:val="en-GB"/>
        </w:rPr>
        <w:t>both</w:t>
      </w:r>
      <w:r w:rsidR="00D929D5" w:rsidRPr="00497A81">
        <w:rPr>
          <w:rFonts w:ascii="Times New Roman" w:hAnsi="Times New Roman" w:cs="Times New Roman"/>
          <w:sz w:val="24"/>
          <w:szCs w:val="24"/>
          <w:lang w:val="en-GB"/>
        </w:rPr>
        <w:t xml:space="preserve"> categor</w:t>
      </w:r>
      <w:r w:rsidR="004F5B23" w:rsidRPr="00497A81">
        <w:rPr>
          <w:rFonts w:ascii="Times New Roman" w:hAnsi="Times New Roman" w:cs="Times New Roman"/>
          <w:sz w:val="24"/>
          <w:szCs w:val="24"/>
          <w:lang w:val="en-GB"/>
        </w:rPr>
        <w:t>ies are</w:t>
      </w:r>
      <w:r w:rsidR="00D929D5" w:rsidRPr="00497A81">
        <w:rPr>
          <w:rFonts w:ascii="Times New Roman" w:hAnsi="Times New Roman" w:cs="Times New Roman"/>
          <w:sz w:val="24"/>
          <w:szCs w:val="24"/>
          <w:lang w:val="en-GB"/>
        </w:rPr>
        <w:t xml:space="preserve"> actually more theoretical than practical. </w:t>
      </w:r>
      <w:r w:rsidR="004F5B23" w:rsidRPr="00497A81">
        <w:rPr>
          <w:rFonts w:ascii="Times New Roman" w:hAnsi="Times New Roman" w:cs="Times New Roman"/>
          <w:sz w:val="24"/>
          <w:szCs w:val="24"/>
          <w:lang w:val="en-GB"/>
        </w:rPr>
        <w:t xml:space="preserve">In practice, some </w:t>
      </w:r>
      <w:r w:rsidR="005E7A89" w:rsidRPr="00497A81">
        <w:rPr>
          <w:rFonts w:ascii="Times New Roman" w:hAnsi="Times New Roman" w:cs="Times New Roman"/>
          <w:sz w:val="24"/>
          <w:szCs w:val="24"/>
          <w:lang w:val="en-GB"/>
        </w:rPr>
        <w:t>form</w:t>
      </w:r>
      <w:r w:rsidR="005E7A89">
        <w:rPr>
          <w:rFonts w:ascii="Times New Roman" w:hAnsi="Times New Roman" w:cs="Times New Roman"/>
          <w:sz w:val="24"/>
          <w:szCs w:val="24"/>
          <w:lang w:val="en-GB"/>
        </w:rPr>
        <w:t xml:space="preserve"> </w:t>
      </w:r>
      <w:r w:rsidR="004F5B23" w:rsidRPr="00497A81">
        <w:rPr>
          <w:rFonts w:ascii="Times New Roman" w:hAnsi="Times New Roman" w:cs="Times New Roman"/>
          <w:sz w:val="24"/>
          <w:szCs w:val="24"/>
          <w:lang w:val="en-GB"/>
        </w:rPr>
        <w:t xml:space="preserve"> of intrusion in the teamwork of primary agents always exists – at a minimal with lack of consent defences. In these cases, some form of monitoring exists. The situation is even more complex when one considers full delegation more closely. </w:t>
      </w:r>
      <w:r w:rsidR="00373A60" w:rsidRPr="00497A81">
        <w:rPr>
          <w:rFonts w:ascii="Times New Roman" w:hAnsi="Times New Roman" w:cs="Times New Roman"/>
          <w:sz w:val="24"/>
          <w:szCs w:val="24"/>
          <w:lang w:val="en-GB"/>
        </w:rPr>
        <w:t>First, mandatory rules often ban certain conducts rather than establishing what conduct is required. It is not a case that EU law speaks of “unfair terms regulation” instead of “fair terms imposition”. Second</w:t>
      </w:r>
      <w:r w:rsidR="00D929D5" w:rsidRPr="00497A81">
        <w:rPr>
          <w:rFonts w:ascii="Times New Roman" w:hAnsi="Times New Roman" w:cs="Times New Roman"/>
          <w:sz w:val="24"/>
          <w:szCs w:val="24"/>
          <w:lang w:val="en-GB"/>
        </w:rPr>
        <w:t>, primary agents are generally involved in the legislative process</w:t>
      </w:r>
      <w:r w:rsidR="004F5B23" w:rsidRPr="00497A81">
        <w:rPr>
          <w:rFonts w:ascii="Times New Roman" w:hAnsi="Times New Roman" w:cs="Times New Roman"/>
          <w:sz w:val="24"/>
          <w:szCs w:val="24"/>
          <w:lang w:val="en-GB"/>
        </w:rPr>
        <w:t xml:space="preserve"> as stakeholders</w:t>
      </w:r>
      <w:r w:rsidR="00D929D5" w:rsidRPr="00497A81">
        <w:rPr>
          <w:rFonts w:ascii="Times New Roman" w:hAnsi="Times New Roman" w:cs="Times New Roman"/>
          <w:sz w:val="24"/>
          <w:szCs w:val="24"/>
          <w:lang w:val="en-GB"/>
        </w:rPr>
        <w:t xml:space="preserve">, so that no mandatory rule is created without some form of teamwork with the primary agents. </w:t>
      </w:r>
      <w:r w:rsidR="00373A60" w:rsidRPr="00497A81">
        <w:rPr>
          <w:rFonts w:ascii="Times New Roman" w:hAnsi="Times New Roman" w:cs="Times New Roman"/>
          <w:sz w:val="24"/>
          <w:szCs w:val="24"/>
          <w:lang w:val="en-GB"/>
        </w:rPr>
        <w:t>Third</w:t>
      </w:r>
      <w:r w:rsidR="00D929D5" w:rsidRPr="00497A81">
        <w:rPr>
          <w:rFonts w:ascii="Times New Roman" w:hAnsi="Times New Roman" w:cs="Times New Roman"/>
          <w:sz w:val="24"/>
          <w:szCs w:val="24"/>
          <w:lang w:val="en-GB"/>
        </w:rPr>
        <w:t>, legal provisions are always uncertain, to some extent. Hence, when a legal provision is invoked as grounds for requiring a behaviour</w:t>
      </w:r>
      <w:r w:rsidR="004F5B23" w:rsidRPr="00497A81">
        <w:rPr>
          <w:rFonts w:ascii="Times New Roman" w:hAnsi="Times New Roman" w:cs="Times New Roman"/>
          <w:sz w:val="24"/>
          <w:szCs w:val="24"/>
          <w:lang w:val="en-GB"/>
        </w:rPr>
        <w:t xml:space="preserve"> by a primary agent</w:t>
      </w:r>
      <w:r w:rsidR="00D929D5" w:rsidRPr="00497A81">
        <w:rPr>
          <w:rFonts w:ascii="Times New Roman" w:hAnsi="Times New Roman" w:cs="Times New Roman"/>
          <w:sz w:val="24"/>
          <w:szCs w:val="24"/>
          <w:lang w:val="en-GB"/>
        </w:rPr>
        <w:t>, some teamwork – negotiations, out of court settlements, litigation –</w:t>
      </w:r>
      <w:r w:rsidR="006E4190">
        <w:rPr>
          <w:rFonts w:ascii="Times New Roman" w:hAnsi="Times New Roman" w:cs="Times New Roman"/>
          <w:sz w:val="24"/>
          <w:szCs w:val="24"/>
          <w:lang w:val="en-GB"/>
        </w:rPr>
        <w:t xml:space="preserve"> </w:t>
      </w:r>
      <w:r w:rsidR="00D929D5" w:rsidRPr="00497A81">
        <w:rPr>
          <w:rFonts w:ascii="Times New Roman" w:hAnsi="Times New Roman" w:cs="Times New Roman"/>
          <w:sz w:val="24"/>
          <w:szCs w:val="24"/>
          <w:lang w:val="en-GB"/>
        </w:rPr>
        <w:t>is needed to identify this behaviour.</w:t>
      </w:r>
    </w:p>
    <w:p w14:paraId="4B645516" w14:textId="212FA5EC" w:rsidR="00D929D5" w:rsidRPr="00497A81" w:rsidRDefault="00D929D5" w:rsidP="008906D8">
      <w:pPr>
        <w:spacing w:after="0"/>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 xml:space="preserve">Within the spectrum, </w:t>
      </w:r>
      <w:r w:rsidR="004F5B23" w:rsidRPr="00497A81">
        <w:rPr>
          <w:rFonts w:ascii="Times New Roman" w:hAnsi="Times New Roman" w:cs="Times New Roman"/>
          <w:sz w:val="24"/>
          <w:szCs w:val="24"/>
          <w:lang w:val="en-GB"/>
        </w:rPr>
        <w:t xml:space="preserve">Sunstein and Bar-Gill </w:t>
      </w:r>
      <w:r w:rsidR="006E4190">
        <w:rPr>
          <w:rFonts w:ascii="Times New Roman" w:hAnsi="Times New Roman" w:cs="Times New Roman"/>
          <w:sz w:val="24"/>
          <w:szCs w:val="24"/>
          <w:lang w:val="en-GB"/>
        </w:rPr>
        <w:t>distinguish</w:t>
      </w:r>
      <w:r w:rsidR="00893859" w:rsidRPr="00497A81">
        <w:rPr>
          <w:rFonts w:ascii="Times New Roman" w:hAnsi="Times New Roman" w:cs="Times New Roman"/>
          <w:sz w:val="24"/>
          <w:szCs w:val="24"/>
          <w:lang w:val="en-GB"/>
        </w:rPr>
        <w:t xml:space="preserve"> information delegation, veto-based delegation, incentive-based delegation and commitment delegation.</w:t>
      </w:r>
      <w:r w:rsidR="00373A60" w:rsidRPr="00497A81">
        <w:rPr>
          <w:rStyle w:val="Rimandonotaapidipagina"/>
          <w:rFonts w:ascii="Times New Roman" w:hAnsi="Times New Roman" w:cs="Times New Roman"/>
          <w:sz w:val="24"/>
          <w:szCs w:val="24"/>
          <w:lang w:val="en-GB"/>
        </w:rPr>
        <w:footnoteReference w:id="58"/>
      </w:r>
      <w:r w:rsidR="00893859" w:rsidRPr="00497A81">
        <w:rPr>
          <w:rFonts w:ascii="Times New Roman" w:hAnsi="Times New Roman" w:cs="Times New Roman"/>
          <w:sz w:val="24"/>
          <w:szCs w:val="24"/>
          <w:lang w:val="en-GB"/>
        </w:rPr>
        <w:t xml:space="preserve"> With information delegation, the legal system makes sure that some information is shared between the primary agents. Typically, the entrepreneur has to inform the consumer, but it is also possible that the consumer has to inform the entrepreneur – the most important example of the latter case is enshrined in the duty of responsible borrowing.</w:t>
      </w:r>
      <w:r w:rsidR="00893859" w:rsidRPr="00497A81">
        <w:rPr>
          <w:rStyle w:val="Rimandonotaapidipagina"/>
          <w:rFonts w:ascii="Times New Roman" w:hAnsi="Times New Roman" w:cs="Times New Roman"/>
          <w:sz w:val="24"/>
          <w:szCs w:val="24"/>
          <w:lang w:val="en-GB"/>
        </w:rPr>
        <w:footnoteReference w:id="59"/>
      </w:r>
      <w:r w:rsidR="00893859" w:rsidRPr="00497A81">
        <w:rPr>
          <w:rFonts w:ascii="Times New Roman" w:hAnsi="Times New Roman" w:cs="Times New Roman"/>
          <w:sz w:val="24"/>
          <w:szCs w:val="24"/>
          <w:lang w:val="en-GB"/>
        </w:rPr>
        <w:t xml:space="preserve"> Veto-based delegation focuses on the use of default terms. Unless primary agents decide otherwise, the default becomes part of the </w:t>
      </w:r>
      <w:r w:rsidR="004F5B23" w:rsidRPr="00497A81">
        <w:rPr>
          <w:rFonts w:ascii="Times New Roman" w:hAnsi="Times New Roman" w:cs="Times New Roman"/>
          <w:sz w:val="24"/>
          <w:szCs w:val="24"/>
          <w:lang w:val="en-GB"/>
        </w:rPr>
        <w:t xml:space="preserve">contractual terms. With incentive delegation, the legal system influences the behaviour of the primary agents with money. Liability rules work this way. But also with administrative </w:t>
      </w:r>
      <w:r w:rsidR="004F5B23" w:rsidRPr="00497A81">
        <w:rPr>
          <w:rFonts w:ascii="Times New Roman" w:hAnsi="Times New Roman" w:cs="Times New Roman"/>
          <w:sz w:val="24"/>
          <w:szCs w:val="24"/>
          <w:lang w:val="en-GB"/>
        </w:rPr>
        <w:lastRenderedPageBreak/>
        <w:t>sanctions or tax benefits the legal system gives incentives without mandating an outcome.</w:t>
      </w:r>
      <w:r w:rsidR="00373A60" w:rsidRPr="00497A81">
        <w:rPr>
          <w:rFonts w:ascii="Times New Roman" w:hAnsi="Times New Roman" w:cs="Times New Roman"/>
          <w:sz w:val="24"/>
          <w:szCs w:val="24"/>
          <w:lang w:val="en-GB"/>
        </w:rPr>
        <w:t xml:space="preserve"> With commitment delegation, the legal system helps primary agents to behave consistently with previous commitments. The authors give as example the famous </w:t>
      </w:r>
      <w:r w:rsidR="00373A60" w:rsidRPr="00DA09BA">
        <w:rPr>
          <w:rFonts w:ascii="Times New Roman" w:hAnsi="Times New Roman" w:cs="Times New Roman"/>
          <w:sz w:val="24"/>
          <w:szCs w:val="24"/>
          <w:lang w:val="en-GB"/>
        </w:rPr>
        <w:t>401(k)</w:t>
      </w:r>
      <w:r w:rsidR="00373A60" w:rsidRPr="008906D8">
        <w:rPr>
          <w:rFonts w:ascii="Times New Roman" w:hAnsi="Times New Roman" w:cs="Times New Roman"/>
          <w:sz w:val="24"/>
          <w:szCs w:val="24"/>
          <w:lang w:val="en-GB"/>
        </w:rPr>
        <w:t xml:space="preserve"> </w:t>
      </w:r>
      <w:r w:rsidR="002C3E55" w:rsidRPr="008906D8">
        <w:rPr>
          <w:rFonts w:ascii="Times New Roman" w:hAnsi="Times New Roman" w:cs="Times New Roman"/>
          <w:sz w:val="24"/>
          <w:szCs w:val="24"/>
          <w:lang w:val="en-GB"/>
        </w:rPr>
        <w:t>retirement</w:t>
      </w:r>
      <w:r w:rsidR="00373A60" w:rsidRPr="00497A81">
        <w:rPr>
          <w:rFonts w:ascii="Times New Roman" w:hAnsi="Times New Roman" w:cs="Times New Roman"/>
          <w:sz w:val="24"/>
          <w:szCs w:val="24"/>
          <w:lang w:val="en-GB"/>
        </w:rPr>
        <w:t xml:space="preserve"> saving system. This category shows how important it is to keep explicit – contrary to what Sunstein and Bar-Gill do – the </w:t>
      </w:r>
      <w:r w:rsidR="000E43AA">
        <w:rPr>
          <w:rFonts w:ascii="Times New Roman" w:hAnsi="Times New Roman" w:cs="Times New Roman"/>
          <w:sz w:val="24"/>
          <w:szCs w:val="24"/>
          <w:lang w:val="en-GB"/>
        </w:rPr>
        <w:t>role of the legal system as monitoring agent o</w:t>
      </w:r>
      <w:r w:rsidR="00373A60" w:rsidRPr="00497A81">
        <w:rPr>
          <w:rFonts w:ascii="Times New Roman" w:hAnsi="Times New Roman" w:cs="Times New Roman"/>
          <w:sz w:val="24"/>
          <w:szCs w:val="24"/>
          <w:lang w:val="en-GB"/>
        </w:rPr>
        <w:t>f primary agents. In fact, once the legal system is a monitoring agent, we see that commitment delegation is not the most intrusive form of delegation after full delegation. Instead, it is actually the mechanism by which the legal system exercises its monitoring function in case of no delegation.</w:t>
      </w:r>
      <w:r w:rsidR="000E43AA">
        <w:rPr>
          <w:rFonts w:ascii="Times New Roman" w:hAnsi="Times New Roman" w:cs="Times New Roman"/>
          <w:sz w:val="24"/>
          <w:szCs w:val="24"/>
          <w:lang w:val="en-GB"/>
        </w:rPr>
        <w:t xml:space="preserve"> From a similar perspective, it is interest to focus on the idea that information disclosure is less intrusive than veto-based disclosure. While this is probably true for the consumer, it is actually the contrary for the entrepreneur. In fact, while information disclosure is mandatory for the entrepreneur, in veto-based delegation the veto can be easily exercised via standard terms. We think it is quite telling of the deep normative foundations of their framework that Bar-Gill and Sunstein implicitly adopt the point of view of the consumer.</w:t>
      </w:r>
    </w:p>
    <w:p w14:paraId="5AD95D7B" w14:textId="77777777" w:rsidR="002A676D" w:rsidRPr="00497A81" w:rsidRDefault="002A676D" w:rsidP="008906D8">
      <w:pPr>
        <w:spacing w:after="0"/>
        <w:jc w:val="both"/>
        <w:rPr>
          <w:rFonts w:ascii="Times New Roman" w:hAnsi="Times New Roman" w:cs="Times New Roman"/>
          <w:sz w:val="24"/>
          <w:szCs w:val="24"/>
          <w:lang w:val="en-GB"/>
        </w:rPr>
      </w:pPr>
    </w:p>
    <w:p w14:paraId="639B5C4C" w14:textId="1A7A1969" w:rsidR="00893859" w:rsidRPr="00497A81" w:rsidRDefault="0025384E" w:rsidP="008906D8">
      <w:pPr>
        <w:spacing w:after="0"/>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b) While Sunstein and Bar-Gill focus mainly on the monitoring function of the legal system, Gillette is more interested in the teamwork of primary agents.</w:t>
      </w:r>
      <w:r w:rsidR="00A043E7" w:rsidRPr="00497A81">
        <w:rPr>
          <w:rFonts w:ascii="Times New Roman" w:hAnsi="Times New Roman" w:cs="Times New Roman"/>
          <w:sz w:val="24"/>
          <w:szCs w:val="24"/>
          <w:lang w:val="en-GB"/>
        </w:rPr>
        <w:t xml:space="preserve"> It is possible to identify </w:t>
      </w:r>
      <w:r w:rsidR="006570AA" w:rsidRPr="00497A81">
        <w:rPr>
          <w:rFonts w:ascii="Times New Roman" w:hAnsi="Times New Roman" w:cs="Times New Roman"/>
          <w:sz w:val="24"/>
          <w:szCs w:val="24"/>
          <w:lang w:val="en-GB"/>
        </w:rPr>
        <w:t>three</w:t>
      </w:r>
      <w:r w:rsidR="00A043E7" w:rsidRPr="00497A81">
        <w:rPr>
          <w:rFonts w:ascii="Times New Roman" w:hAnsi="Times New Roman" w:cs="Times New Roman"/>
          <w:sz w:val="24"/>
          <w:szCs w:val="24"/>
          <w:lang w:val="en-GB"/>
        </w:rPr>
        <w:t xml:space="preserve"> different models of teamwork: bounded self-interested </w:t>
      </w:r>
      <w:r w:rsidR="006E4190">
        <w:rPr>
          <w:rFonts w:ascii="Times New Roman" w:hAnsi="Times New Roman" w:cs="Times New Roman"/>
          <w:sz w:val="24"/>
          <w:szCs w:val="24"/>
          <w:lang w:val="en-GB"/>
        </w:rPr>
        <w:t>entrepreneur</w:t>
      </w:r>
      <w:r w:rsidR="00A043E7" w:rsidRPr="00497A81">
        <w:rPr>
          <w:rFonts w:ascii="Times New Roman" w:hAnsi="Times New Roman" w:cs="Times New Roman"/>
          <w:sz w:val="24"/>
          <w:szCs w:val="24"/>
          <w:lang w:val="en-GB"/>
        </w:rPr>
        <w:t xml:space="preserve">; </w:t>
      </w:r>
      <w:r w:rsidR="006570AA" w:rsidRPr="00497A81">
        <w:rPr>
          <w:rFonts w:ascii="Times New Roman" w:hAnsi="Times New Roman" w:cs="Times New Roman"/>
          <w:sz w:val="24"/>
          <w:szCs w:val="24"/>
          <w:lang w:val="en-GB"/>
        </w:rPr>
        <w:t>double agent</w:t>
      </w:r>
      <w:r w:rsidR="006E4190">
        <w:rPr>
          <w:rFonts w:ascii="Times New Roman" w:hAnsi="Times New Roman" w:cs="Times New Roman"/>
          <w:sz w:val="24"/>
          <w:szCs w:val="24"/>
          <w:lang w:val="en-GB"/>
        </w:rPr>
        <w:t xml:space="preserve"> entrepreneur</w:t>
      </w:r>
      <w:r w:rsidR="00A043E7" w:rsidRPr="00497A81">
        <w:rPr>
          <w:rFonts w:ascii="Times New Roman" w:hAnsi="Times New Roman" w:cs="Times New Roman"/>
          <w:sz w:val="24"/>
          <w:szCs w:val="24"/>
          <w:lang w:val="en-GB"/>
        </w:rPr>
        <w:t xml:space="preserve">; competition for </w:t>
      </w:r>
      <w:r w:rsidR="006E4190">
        <w:rPr>
          <w:rFonts w:ascii="Times New Roman" w:hAnsi="Times New Roman" w:cs="Times New Roman"/>
          <w:sz w:val="24"/>
          <w:szCs w:val="24"/>
          <w:lang w:val="en-GB"/>
        </w:rPr>
        <w:t>active</w:t>
      </w:r>
      <w:r w:rsidR="006570AA" w:rsidRPr="00497A81">
        <w:rPr>
          <w:rFonts w:ascii="Times New Roman" w:hAnsi="Times New Roman" w:cs="Times New Roman"/>
          <w:sz w:val="24"/>
          <w:szCs w:val="24"/>
          <w:lang w:val="en-GB"/>
        </w:rPr>
        <w:t xml:space="preserve"> </w:t>
      </w:r>
      <w:r w:rsidR="00A043E7" w:rsidRPr="00497A81">
        <w:rPr>
          <w:rFonts w:ascii="Times New Roman" w:hAnsi="Times New Roman" w:cs="Times New Roman"/>
          <w:sz w:val="24"/>
          <w:szCs w:val="24"/>
          <w:lang w:val="en-GB"/>
        </w:rPr>
        <w:t>consumer</w:t>
      </w:r>
      <w:r w:rsidR="006570AA" w:rsidRPr="00497A81">
        <w:rPr>
          <w:rFonts w:ascii="Times New Roman" w:hAnsi="Times New Roman" w:cs="Times New Roman"/>
          <w:sz w:val="24"/>
          <w:szCs w:val="24"/>
          <w:lang w:val="en-GB"/>
        </w:rPr>
        <w:t>s</w:t>
      </w:r>
      <w:r w:rsidR="00A043E7" w:rsidRPr="00497A81">
        <w:rPr>
          <w:rFonts w:ascii="Times New Roman" w:hAnsi="Times New Roman" w:cs="Times New Roman"/>
          <w:sz w:val="24"/>
          <w:szCs w:val="24"/>
          <w:lang w:val="en-GB"/>
        </w:rPr>
        <w:t>.</w:t>
      </w:r>
      <w:r w:rsidR="00F342A4" w:rsidRPr="00497A81">
        <w:rPr>
          <w:rStyle w:val="Rimandonotaapidipagina"/>
          <w:rFonts w:ascii="Times New Roman" w:hAnsi="Times New Roman" w:cs="Times New Roman"/>
          <w:sz w:val="24"/>
          <w:szCs w:val="24"/>
          <w:lang w:val="en-GB"/>
        </w:rPr>
        <w:footnoteReference w:id="60"/>
      </w:r>
      <w:r w:rsidR="00A043E7" w:rsidRPr="00497A81">
        <w:rPr>
          <w:rFonts w:ascii="Times New Roman" w:hAnsi="Times New Roman" w:cs="Times New Roman"/>
          <w:sz w:val="24"/>
          <w:szCs w:val="24"/>
          <w:lang w:val="en-GB"/>
        </w:rPr>
        <w:t xml:space="preserve"> The labels are ours. In the bounded self-interest seller model, quite simply, the </w:t>
      </w:r>
      <w:r w:rsidR="006E4190">
        <w:rPr>
          <w:rFonts w:ascii="Times New Roman" w:hAnsi="Times New Roman" w:cs="Times New Roman"/>
          <w:sz w:val="24"/>
          <w:szCs w:val="24"/>
          <w:lang w:val="en-GB"/>
        </w:rPr>
        <w:t>entrepreneur</w:t>
      </w:r>
      <w:r w:rsidR="00A043E7" w:rsidRPr="00497A81">
        <w:rPr>
          <w:rFonts w:ascii="Times New Roman" w:hAnsi="Times New Roman" w:cs="Times New Roman"/>
          <w:sz w:val="24"/>
          <w:szCs w:val="24"/>
          <w:lang w:val="en-GB"/>
        </w:rPr>
        <w:t xml:space="preserve"> acts in the interest of the consumer because he prefers to treat the consumer fairly, at least to some extent.</w:t>
      </w:r>
      <w:r w:rsidR="00150901" w:rsidRPr="00497A81">
        <w:rPr>
          <w:rFonts w:ascii="Times New Roman" w:hAnsi="Times New Roman" w:cs="Times New Roman"/>
          <w:sz w:val="24"/>
          <w:szCs w:val="24"/>
          <w:lang w:val="en-GB"/>
        </w:rPr>
        <w:t xml:space="preserve"> The role of consumer as agent is secondary.</w:t>
      </w:r>
      <w:r w:rsidR="00A043E7" w:rsidRPr="00497A81">
        <w:rPr>
          <w:rFonts w:ascii="Times New Roman" w:hAnsi="Times New Roman" w:cs="Times New Roman"/>
          <w:sz w:val="24"/>
          <w:szCs w:val="24"/>
          <w:lang w:val="en-GB"/>
        </w:rPr>
        <w:t xml:space="preserve"> </w:t>
      </w:r>
      <w:r w:rsidR="006570AA" w:rsidRPr="00497A81">
        <w:rPr>
          <w:rFonts w:ascii="Times New Roman" w:hAnsi="Times New Roman" w:cs="Times New Roman"/>
          <w:sz w:val="24"/>
          <w:szCs w:val="24"/>
          <w:lang w:val="en-GB"/>
        </w:rPr>
        <w:t xml:space="preserve">In the double agent type of teamwork, the </w:t>
      </w:r>
      <w:r w:rsidR="006E4190">
        <w:rPr>
          <w:rFonts w:ascii="Times New Roman" w:hAnsi="Times New Roman" w:cs="Times New Roman"/>
          <w:sz w:val="24"/>
          <w:szCs w:val="24"/>
          <w:lang w:val="en-GB"/>
        </w:rPr>
        <w:t>entrepreneur</w:t>
      </w:r>
      <w:r w:rsidR="006570AA" w:rsidRPr="00497A81">
        <w:rPr>
          <w:rFonts w:ascii="Times New Roman" w:hAnsi="Times New Roman" w:cs="Times New Roman"/>
          <w:sz w:val="24"/>
          <w:szCs w:val="24"/>
          <w:lang w:val="en-GB"/>
        </w:rPr>
        <w:t xml:space="preserve"> apparently acts as a bad agent of consumers generally.</w:t>
      </w:r>
      <w:r w:rsidR="006E4190">
        <w:rPr>
          <w:rFonts w:ascii="Times New Roman" w:hAnsi="Times New Roman" w:cs="Times New Roman"/>
          <w:sz w:val="24"/>
          <w:szCs w:val="24"/>
          <w:lang w:val="en-GB"/>
        </w:rPr>
        <w:t xml:space="preserve"> For example, by introducing standard terms that are egregiously one-sided.</w:t>
      </w:r>
      <w:r w:rsidR="006570AA" w:rsidRPr="00497A81">
        <w:rPr>
          <w:rFonts w:ascii="Times New Roman" w:hAnsi="Times New Roman" w:cs="Times New Roman"/>
          <w:sz w:val="24"/>
          <w:szCs w:val="24"/>
          <w:lang w:val="en-GB"/>
        </w:rPr>
        <w:t xml:space="preserve"> In </w:t>
      </w:r>
      <w:r w:rsidR="00150901" w:rsidRPr="00497A81">
        <w:rPr>
          <w:rFonts w:ascii="Times New Roman" w:hAnsi="Times New Roman" w:cs="Times New Roman"/>
          <w:sz w:val="24"/>
          <w:szCs w:val="24"/>
          <w:lang w:val="en-GB"/>
        </w:rPr>
        <w:t>truth</w:t>
      </w:r>
      <w:r w:rsidR="006570AA" w:rsidRPr="00497A81">
        <w:rPr>
          <w:rFonts w:ascii="Times New Roman" w:hAnsi="Times New Roman" w:cs="Times New Roman"/>
          <w:sz w:val="24"/>
          <w:szCs w:val="24"/>
          <w:lang w:val="en-GB"/>
        </w:rPr>
        <w:t xml:space="preserve">, he is going to enforce those terms only against consumers that abuse of contractual rights – for example, consumers claiming a product to be defective when they misused it or using a cooling-off period as a free trial. Thus, the real bad agent are other consumers, and the double agent acts in order to remedy to the difficulty of the legal system to monitor the behaviour of these bad </w:t>
      </w:r>
      <w:r w:rsidR="00150901" w:rsidRPr="00497A81">
        <w:rPr>
          <w:rFonts w:ascii="Times New Roman" w:hAnsi="Times New Roman" w:cs="Times New Roman"/>
          <w:sz w:val="24"/>
          <w:szCs w:val="24"/>
          <w:lang w:val="en-GB"/>
        </w:rPr>
        <w:t>agents</w:t>
      </w:r>
      <w:r w:rsidR="006570AA" w:rsidRPr="00497A81">
        <w:rPr>
          <w:rFonts w:ascii="Times New Roman" w:hAnsi="Times New Roman" w:cs="Times New Roman"/>
          <w:sz w:val="24"/>
          <w:szCs w:val="24"/>
          <w:lang w:val="en-GB"/>
        </w:rPr>
        <w:t xml:space="preserve">. In case of competition for </w:t>
      </w:r>
      <w:r w:rsidR="006E4190">
        <w:rPr>
          <w:rFonts w:ascii="Times New Roman" w:hAnsi="Times New Roman" w:cs="Times New Roman"/>
          <w:sz w:val="24"/>
          <w:szCs w:val="24"/>
          <w:lang w:val="en-GB"/>
        </w:rPr>
        <w:t>active</w:t>
      </w:r>
      <w:r w:rsidR="006570AA" w:rsidRPr="00497A81">
        <w:rPr>
          <w:rFonts w:ascii="Times New Roman" w:hAnsi="Times New Roman" w:cs="Times New Roman"/>
          <w:sz w:val="24"/>
          <w:szCs w:val="24"/>
          <w:lang w:val="en-GB"/>
        </w:rPr>
        <w:t xml:space="preserve"> consumers, </w:t>
      </w:r>
      <w:r w:rsidR="006E4190">
        <w:rPr>
          <w:rFonts w:ascii="Times New Roman" w:hAnsi="Times New Roman" w:cs="Times New Roman"/>
          <w:sz w:val="24"/>
          <w:szCs w:val="24"/>
          <w:lang w:val="en-GB"/>
        </w:rPr>
        <w:t>entrepreneurs</w:t>
      </w:r>
      <w:r w:rsidR="006570AA" w:rsidRPr="00497A81">
        <w:rPr>
          <w:rFonts w:ascii="Times New Roman" w:hAnsi="Times New Roman" w:cs="Times New Roman"/>
          <w:sz w:val="24"/>
          <w:szCs w:val="24"/>
          <w:lang w:val="en-GB"/>
        </w:rPr>
        <w:t xml:space="preserve"> compete with each other</w:t>
      </w:r>
      <w:r w:rsidR="00150901" w:rsidRPr="00497A81">
        <w:rPr>
          <w:rFonts w:ascii="Times New Roman" w:hAnsi="Times New Roman" w:cs="Times New Roman"/>
          <w:sz w:val="24"/>
          <w:szCs w:val="24"/>
          <w:lang w:val="en-GB"/>
        </w:rPr>
        <w:t xml:space="preserve"> in order to contract with </w:t>
      </w:r>
      <w:r w:rsidR="006E4190">
        <w:rPr>
          <w:rFonts w:ascii="Times New Roman" w:hAnsi="Times New Roman" w:cs="Times New Roman"/>
          <w:sz w:val="24"/>
          <w:szCs w:val="24"/>
          <w:lang w:val="en-GB"/>
        </w:rPr>
        <w:t>active</w:t>
      </w:r>
      <w:r w:rsidR="00150901" w:rsidRPr="00497A81">
        <w:rPr>
          <w:rFonts w:ascii="Times New Roman" w:hAnsi="Times New Roman" w:cs="Times New Roman"/>
          <w:sz w:val="24"/>
          <w:szCs w:val="24"/>
          <w:lang w:val="en-GB"/>
        </w:rPr>
        <w:t xml:space="preserve"> consumers</w:t>
      </w:r>
      <w:r w:rsidR="006570AA" w:rsidRPr="00497A81">
        <w:rPr>
          <w:rFonts w:ascii="Times New Roman" w:hAnsi="Times New Roman" w:cs="Times New Roman"/>
          <w:sz w:val="24"/>
          <w:szCs w:val="24"/>
          <w:lang w:val="en-GB"/>
        </w:rPr>
        <w:t>, ending up fostering the consumer interest generally.</w:t>
      </w:r>
      <w:r w:rsidR="00150901" w:rsidRPr="00497A81">
        <w:rPr>
          <w:rFonts w:ascii="Times New Roman" w:hAnsi="Times New Roman" w:cs="Times New Roman"/>
          <w:sz w:val="24"/>
          <w:szCs w:val="24"/>
          <w:lang w:val="en-GB"/>
        </w:rPr>
        <w:t xml:space="preserve"> Here, some consumers need to be active – they have to switch from one operator to the other </w:t>
      </w:r>
      <w:r w:rsidR="00B21274">
        <w:rPr>
          <w:rFonts w:ascii="Times New Roman" w:hAnsi="Times New Roman" w:cs="Times New Roman"/>
          <w:sz w:val="24"/>
          <w:szCs w:val="24"/>
          <w:lang w:val="en-GB"/>
        </w:rPr>
        <w:t>in search of better bargains</w:t>
      </w:r>
      <w:r w:rsidR="00150901" w:rsidRPr="00497A81">
        <w:rPr>
          <w:rFonts w:ascii="Times New Roman" w:hAnsi="Times New Roman" w:cs="Times New Roman"/>
          <w:sz w:val="24"/>
          <w:szCs w:val="24"/>
          <w:lang w:val="en-GB"/>
        </w:rPr>
        <w:t xml:space="preserve"> and</w:t>
      </w:r>
      <w:r w:rsidR="00B21274">
        <w:rPr>
          <w:rFonts w:ascii="Times New Roman" w:hAnsi="Times New Roman" w:cs="Times New Roman"/>
          <w:sz w:val="24"/>
          <w:szCs w:val="24"/>
          <w:lang w:val="en-GB"/>
        </w:rPr>
        <w:t>/or</w:t>
      </w:r>
      <w:r w:rsidR="00150901" w:rsidRPr="00497A81">
        <w:rPr>
          <w:rFonts w:ascii="Times New Roman" w:hAnsi="Times New Roman" w:cs="Times New Roman"/>
          <w:sz w:val="24"/>
          <w:szCs w:val="24"/>
          <w:lang w:val="en-GB"/>
        </w:rPr>
        <w:t xml:space="preserve"> they have at least to read standard contract</w:t>
      </w:r>
      <w:r w:rsidR="00B21274">
        <w:rPr>
          <w:rFonts w:ascii="Times New Roman" w:hAnsi="Times New Roman" w:cs="Times New Roman"/>
          <w:sz w:val="24"/>
          <w:szCs w:val="24"/>
          <w:lang w:val="en-GB"/>
        </w:rPr>
        <w:t xml:space="preserve"> terms</w:t>
      </w:r>
      <w:r w:rsidR="00150901" w:rsidRPr="00497A81">
        <w:rPr>
          <w:rFonts w:ascii="Times New Roman" w:hAnsi="Times New Roman" w:cs="Times New Roman"/>
          <w:sz w:val="24"/>
          <w:szCs w:val="24"/>
          <w:lang w:val="en-GB"/>
        </w:rPr>
        <w:t xml:space="preserve"> to improve their quality.</w:t>
      </w:r>
      <w:r w:rsidR="009563ED">
        <w:rPr>
          <w:rFonts w:ascii="Times New Roman" w:hAnsi="Times New Roman" w:cs="Times New Roman"/>
          <w:sz w:val="24"/>
          <w:szCs w:val="24"/>
          <w:lang w:val="en-GB"/>
        </w:rPr>
        <w:t xml:space="preserve"> In Hirschman’s language, active consumers exercise exit. In Hutt’s language, active consumers are the ones exercising the power of demanding or refraining from demanding.</w:t>
      </w:r>
      <w:r w:rsidR="006570AA" w:rsidRPr="00497A81">
        <w:rPr>
          <w:rFonts w:ascii="Times New Roman" w:hAnsi="Times New Roman" w:cs="Times New Roman"/>
          <w:sz w:val="24"/>
          <w:szCs w:val="24"/>
          <w:lang w:val="en-GB"/>
        </w:rPr>
        <w:t xml:space="preserve"> </w:t>
      </w:r>
      <w:r w:rsidR="00864CB9" w:rsidRPr="00497A81">
        <w:rPr>
          <w:rFonts w:ascii="Times New Roman" w:hAnsi="Times New Roman" w:cs="Times New Roman"/>
          <w:sz w:val="24"/>
          <w:szCs w:val="24"/>
          <w:lang w:val="en-GB"/>
        </w:rPr>
        <w:t>As already stated, we do not discuss the desirability of different types of teamwork. Being this inquiry so empirically driven, it is even debatable whether lawyers are actually fit for this task or they should rather ask for and build on the work of scholars from other disciplines.</w:t>
      </w:r>
      <w:r w:rsidR="00150901" w:rsidRPr="00497A81">
        <w:rPr>
          <w:rFonts w:ascii="Times New Roman" w:hAnsi="Times New Roman" w:cs="Times New Roman"/>
          <w:sz w:val="24"/>
          <w:szCs w:val="24"/>
          <w:lang w:val="en-GB"/>
        </w:rPr>
        <w:t xml:space="preserve"> Before moving to the application of the framework, it is important to emphasise the advantage of our framework against </w:t>
      </w:r>
      <w:r w:rsidR="00B21274">
        <w:rPr>
          <w:rFonts w:ascii="Times New Roman" w:hAnsi="Times New Roman" w:cs="Times New Roman"/>
          <w:sz w:val="24"/>
          <w:szCs w:val="24"/>
          <w:lang w:val="en-GB"/>
        </w:rPr>
        <w:t>the ones just discussed</w:t>
      </w:r>
      <w:r w:rsidR="00150901" w:rsidRPr="00497A81">
        <w:rPr>
          <w:rFonts w:ascii="Times New Roman" w:hAnsi="Times New Roman" w:cs="Times New Roman"/>
          <w:sz w:val="24"/>
          <w:szCs w:val="24"/>
          <w:lang w:val="en-GB"/>
        </w:rPr>
        <w:t>.</w:t>
      </w:r>
    </w:p>
    <w:p w14:paraId="0D10E339" w14:textId="77777777" w:rsidR="00893859" w:rsidRPr="00497A81" w:rsidRDefault="00893859" w:rsidP="008906D8">
      <w:pPr>
        <w:spacing w:after="0"/>
        <w:jc w:val="both"/>
        <w:rPr>
          <w:rFonts w:ascii="Times New Roman" w:hAnsi="Times New Roman" w:cs="Times New Roman"/>
          <w:sz w:val="24"/>
          <w:szCs w:val="24"/>
          <w:lang w:val="en-GB"/>
        </w:rPr>
      </w:pPr>
    </w:p>
    <w:p w14:paraId="4861ED72" w14:textId="03D4CB74" w:rsidR="00613D21" w:rsidRPr="00497A81" w:rsidRDefault="00F342A4" w:rsidP="002610A1">
      <w:pPr>
        <w:spacing w:after="120" w:line="240" w:lineRule="auto"/>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 xml:space="preserve">c) </w:t>
      </w:r>
      <w:r w:rsidR="00150901" w:rsidRPr="00497A81">
        <w:rPr>
          <w:rFonts w:ascii="Times New Roman" w:hAnsi="Times New Roman" w:cs="Times New Roman"/>
          <w:sz w:val="24"/>
          <w:szCs w:val="24"/>
          <w:lang w:val="en-GB"/>
        </w:rPr>
        <w:t>T</w:t>
      </w:r>
      <w:r w:rsidRPr="00497A81">
        <w:rPr>
          <w:rFonts w:ascii="Times New Roman" w:hAnsi="Times New Roman" w:cs="Times New Roman"/>
          <w:sz w:val="24"/>
          <w:szCs w:val="24"/>
          <w:lang w:val="en-GB"/>
        </w:rPr>
        <w:t>o the aforementioned analyses</w:t>
      </w:r>
      <w:r w:rsidR="00150901" w:rsidRPr="00497A81">
        <w:rPr>
          <w:rFonts w:ascii="Times New Roman" w:hAnsi="Times New Roman" w:cs="Times New Roman"/>
          <w:sz w:val="24"/>
          <w:szCs w:val="24"/>
          <w:lang w:val="en-GB"/>
        </w:rPr>
        <w:t>,</w:t>
      </w:r>
      <w:r w:rsidRPr="00497A81">
        <w:rPr>
          <w:rFonts w:ascii="Times New Roman" w:hAnsi="Times New Roman" w:cs="Times New Roman"/>
          <w:sz w:val="24"/>
          <w:szCs w:val="24"/>
          <w:lang w:val="en-GB"/>
        </w:rPr>
        <w:t xml:space="preserve"> </w:t>
      </w:r>
      <w:r w:rsidR="00150901" w:rsidRPr="00497A81">
        <w:rPr>
          <w:rFonts w:ascii="Times New Roman" w:hAnsi="Times New Roman" w:cs="Times New Roman"/>
          <w:sz w:val="24"/>
          <w:szCs w:val="24"/>
          <w:lang w:val="en-GB"/>
        </w:rPr>
        <w:t xml:space="preserve">we add a </w:t>
      </w:r>
      <w:r w:rsidRPr="00497A81">
        <w:rPr>
          <w:rFonts w:ascii="Times New Roman" w:hAnsi="Times New Roman" w:cs="Times New Roman"/>
          <w:sz w:val="24"/>
          <w:szCs w:val="24"/>
          <w:lang w:val="en-GB"/>
        </w:rPr>
        <w:t>clear normative foundation in economic theory</w:t>
      </w:r>
      <w:r w:rsidR="00150901" w:rsidRPr="00497A81">
        <w:rPr>
          <w:rFonts w:ascii="Times New Roman" w:hAnsi="Times New Roman" w:cs="Times New Roman"/>
          <w:sz w:val="24"/>
          <w:szCs w:val="24"/>
          <w:lang w:val="en-GB"/>
        </w:rPr>
        <w:t xml:space="preserve"> of the principal-agent framework</w:t>
      </w:r>
      <w:r w:rsidR="00B21274">
        <w:rPr>
          <w:rFonts w:ascii="Times New Roman" w:hAnsi="Times New Roman" w:cs="Times New Roman"/>
          <w:sz w:val="24"/>
          <w:szCs w:val="24"/>
          <w:lang w:val="en-GB"/>
        </w:rPr>
        <w:t>,</w:t>
      </w:r>
      <w:r w:rsidR="00150901" w:rsidRPr="00497A81">
        <w:rPr>
          <w:rFonts w:ascii="Times New Roman" w:hAnsi="Times New Roman" w:cs="Times New Roman"/>
          <w:sz w:val="24"/>
          <w:szCs w:val="24"/>
          <w:lang w:val="en-GB"/>
        </w:rPr>
        <w:t xml:space="preserve"> namely</w:t>
      </w:r>
      <w:r w:rsidRPr="00497A81">
        <w:rPr>
          <w:rFonts w:ascii="Times New Roman" w:hAnsi="Times New Roman" w:cs="Times New Roman"/>
          <w:sz w:val="24"/>
          <w:szCs w:val="24"/>
          <w:lang w:val="en-GB"/>
        </w:rPr>
        <w:t xml:space="preserve"> the claim that the microeconomic rationale of market behaviour and of its regulation is concerned with </w:t>
      </w:r>
      <w:r w:rsidR="00150901" w:rsidRPr="00497A81">
        <w:rPr>
          <w:rFonts w:ascii="Times New Roman" w:hAnsi="Times New Roman" w:cs="Times New Roman"/>
          <w:sz w:val="24"/>
          <w:szCs w:val="24"/>
          <w:lang w:val="en-GB"/>
        </w:rPr>
        <w:t xml:space="preserve">aggregate </w:t>
      </w:r>
      <w:r w:rsidRPr="00497A81">
        <w:rPr>
          <w:rFonts w:ascii="Times New Roman" w:hAnsi="Times New Roman" w:cs="Times New Roman"/>
          <w:sz w:val="24"/>
          <w:szCs w:val="24"/>
          <w:lang w:val="en-GB"/>
        </w:rPr>
        <w:t>consumer welfare</w:t>
      </w:r>
      <w:r w:rsidR="00150901" w:rsidRPr="00497A81">
        <w:rPr>
          <w:rFonts w:ascii="Times New Roman" w:hAnsi="Times New Roman" w:cs="Times New Roman"/>
          <w:sz w:val="24"/>
          <w:szCs w:val="24"/>
          <w:lang w:val="en-GB"/>
        </w:rPr>
        <w:t xml:space="preserve"> through Pareto optimal transactions</w:t>
      </w:r>
      <w:r w:rsidRPr="00497A81">
        <w:rPr>
          <w:rFonts w:ascii="Times New Roman" w:hAnsi="Times New Roman" w:cs="Times New Roman"/>
          <w:sz w:val="24"/>
          <w:szCs w:val="24"/>
          <w:lang w:val="en-GB"/>
        </w:rPr>
        <w:t>. Both analytical frameworks are defended by their authors on mere theoretical grounds. They offer interesting perspective</w:t>
      </w:r>
      <w:r w:rsidR="00B21274">
        <w:rPr>
          <w:rFonts w:ascii="Times New Roman" w:hAnsi="Times New Roman" w:cs="Times New Roman"/>
          <w:sz w:val="24"/>
          <w:szCs w:val="24"/>
          <w:lang w:val="en-GB"/>
        </w:rPr>
        <w:t>s</w:t>
      </w:r>
      <w:r w:rsidRPr="00497A81">
        <w:rPr>
          <w:rFonts w:ascii="Times New Roman" w:hAnsi="Times New Roman" w:cs="Times New Roman"/>
          <w:sz w:val="24"/>
          <w:szCs w:val="24"/>
          <w:lang w:val="en-GB"/>
        </w:rPr>
        <w:t xml:space="preserve"> on </w:t>
      </w:r>
      <w:r w:rsidR="00B21274">
        <w:rPr>
          <w:rFonts w:ascii="Times New Roman" w:hAnsi="Times New Roman" w:cs="Times New Roman"/>
          <w:sz w:val="24"/>
          <w:szCs w:val="24"/>
          <w:lang w:val="en-GB"/>
        </w:rPr>
        <w:t>existing legal debates</w:t>
      </w:r>
      <w:r w:rsidRPr="00497A81">
        <w:rPr>
          <w:rFonts w:ascii="Times New Roman" w:hAnsi="Times New Roman" w:cs="Times New Roman"/>
          <w:sz w:val="24"/>
          <w:szCs w:val="24"/>
          <w:lang w:val="en-GB"/>
        </w:rPr>
        <w:t>.</w:t>
      </w:r>
      <w:r w:rsidR="009F453B" w:rsidRPr="00497A81">
        <w:rPr>
          <w:rStyle w:val="Rimandonotaapidipagina"/>
          <w:rFonts w:ascii="Times New Roman" w:hAnsi="Times New Roman" w:cs="Times New Roman"/>
          <w:sz w:val="24"/>
          <w:szCs w:val="24"/>
          <w:lang w:val="en-GB"/>
        </w:rPr>
        <w:footnoteReference w:id="61"/>
      </w:r>
      <w:r w:rsidRPr="00497A81">
        <w:rPr>
          <w:rFonts w:ascii="Times New Roman" w:hAnsi="Times New Roman" w:cs="Times New Roman"/>
          <w:sz w:val="24"/>
          <w:szCs w:val="24"/>
          <w:lang w:val="en-GB"/>
        </w:rPr>
        <w:t xml:space="preserve"> </w:t>
      </w:r>
      <w:r w:rsidR="009F453B" w:rsidRPr="00497A81">
        <w:rPr>
          <w:rFonts w:ascii="Times New Roman" w:hAnsi="Times New Roman" w:cs="Times New Roman"/>
          <w:sz w:val="24"/>
          <w:szCs w:val="24"/>
          <w:lang w:val="en-GB"/>
        </w:rPr>
        <w:t xml:space="preserve">No effort is </w:t>
      </w:r>
      <w:r w:rsidR="009F453B" w:rsidRPr="00497A81">
        <w:rPr>
          <w:rFonts w:ascii="Times New Roman" w:hAnsi="Times New Roman" w:cs="Times New Roman"/>
          <w:sz w:val="24"/>
          <w:szCs w:val="24"/>
          <w:lang w:val="en-GB"/>
        </w:rPr>
        <w:lastRenderedPageBreak/>
        <w:t xml:space="preserve">made to justify normatively the qualification of the consumer as principal. </w:t>
      </w:r>
      <w:r w:rsidR="00D2562A" w:rsidRPr="00497A81">
        <w:rPr>
          <w:rFonts w:ascii="Times New Roman" w:hAnsi="Times New Roman" w:cs="Times New Roman"/>
          <w:sz w:val="24"/>
          <w:szCs w:val="24"/>
          <w:lang w:val="en-GB"/>
        </w:rPr>
        <w:t>Actually, f</w:t>
      </w:r>
      <w:r w:rsidRPr="00497A81">
        <w:rPr>
          <w:rFonts w:ascii="Times New Roman" w:hAnsi="Times New Roman" w:cs="Times New Roman"/>
          <w:sz w:val="24"/>
          <w:szCs w:val="24"/>
          <w:lang w:val="en-GB"/>
        </w:rPr>
        <w:t>rom a normative perspective, these approaches are dissatisfactory.</w:t>
      </w:r>
      <w:r w:rsidR="009F453B" w:rsidRPr="00497A81">
        <w:rPr>
          <w:rFonts w:ascii="Times New Roman" w:hAnsi="Times New Roman" w:cs="Times New Roman"/>
          <w:sz w:val="24"/>
          <w:szCs w:val="24"/>
          <w:lang w:val="en-GB"/>
        </w:rPr>
        <w:t xml:space="preserve"> They are, in fact, contradictory.</w:t>
      </w:r>
      <w:r w:rsidRPr="00497A81">
        <w:rPr>
          <w:rFonts w:ascii="Times New Roman" w:hAnsi="Times New Roman" w:cs="Times New Roman"/>
          <w:sz w:val="24"/>
          <w:szCs w:val="24"/>
          <w:lang w:val="en-GB"/>
        </w:rPr>
        <w:t xml:space="preserve"> </w:t>
      </w:r>
      <w:r w:rsidR="00693644" w:rsidRPr="00497A81">
        <w:rPr>
          <w:rFonts w:ascii="Times New Roman" w:hAnsi="Times New Roman" w:cs="Times New Roman"/>
          <w:sz w:val="24"/>
          <w:szCs w:val="24"/>
          <w:lang w:val="en-GB"/>
        </w:rPr>
        <w:t>Gillette primarily refers to the internalization of the principal’s interest. However, this internalization is associated with no less than five different normative standards: preference satisfaction (p. 685); best internalization of the principal’s interest (p. 689); ensuring mutual gains (p. 690); total welfare (p. 702); fair distribution of gains (p. 712).</w:t>
      </w:r>
      <w:r w:rsidR="00613D21" w:rsidRPr="00497A81">
        <w:rPr>
          <w:rFonts w:ascii="Times New Roman" w:hAnsi="Times New Roman" w:cs="Times New Roman"/>
          <w:sz w:val="24"/>
          <w:szCs w:val="24"/>
          <w:lang w:val="en-GB"/>
        </w:rPr>
        <w:t xml:space="preserve"> Preliminary, preferences are not a reliable indicator of welfare, as they can be uninformed or non-fully rational. Setting this problem aside, only the best internalization standard is fully compatible with a principal-agent approach.</w:t>
      </w:r>
      <w:r w:rsidR="00693644" w:rsidRPr="00497A81">
        <w:rPr>
          <w:rFonts w:ascii="Times New Roman" w:hAnsi="Times New Roman" w:cs="Times New Roman"/>
          <w:sz w:val="24"/>
          <w:szCs w:val="24"/>
          <w:lang w:val="en-GB"/>
        </w:rPr>
        <w:t xml:space="preserve"> </w:t>
      </w:r>
      <w:r w:rsidR="00613D21" w:rsidRPr="00497A81">
        <w:rPr>
          <w:rFonts w:ascii="Times New Roman" w:hAnsi="Times New Roman" w:cs="Times New Roman"/>
          <w:sz w:val="24"/>
          <w:szCs w:val="24"/>
          <w:lang w:val="en-GB"/>
        </w:rPr>
        <w:t xml:space="preserve">Ensuring a fair distribution of gains goes in this direction, because generally the problem is that contracts are unbalanced in favour of the entrepreneur, but a fair distribution could allow for a sub-optimal implementation of the principal’s interest. The mutual gains and the total welfare standard are even more problematic. </w:t>
      </w:r>
      <w:r w:rsidR="004C0F49" w:rsidRPr="00497A81">
        <w:rPr>
          <w:rFonts w:ascii="Times New Roman" w:hAnsi="Times New Roman" w:cs="Times New Roman"/>
          <w:sz w:val="24"/>
          <w:szCs w:val="24"/>
          <w:lang w:val="en-GB"/>
        </w:rPr>
        <w:t>Let us set aside the conflict between these two criteria</w:t>
      </w:r>
      <w:r w:rsidR="00613D21" w:rsidRPr="00497A81">
        <w:rPr>
          <w:rFonts w:ascii="Times New Roman" w:hAnsi="Times New Roman" w:cs="Times New Roman"/>
          <w:sz w:val="24"/>
          <w:szCs w:val="24"/>
          <w:lang w:val="en-GB"/>
        </w:rPr>
        <w:t xml:space="preserve"> – the case in which the total welfare is maximized, but </w:t>
      </w:r>
      <w:r w:rsidR="00B21274">
        <w:rPr>
          <w:rFonts w:ascii="Times New Roman" w:hAnsi="Times New Roman" w:cs="Times New Roman"/>
          <w:sz w:val="24"/>
          <w:szCs w:val="24"/>
          <w:lang w:val="en-GB"/>
        </w:rPr>
        <w:t xml:space="preserve">a party </w:t>
      </w:r>
      <w:r w:rsidR="00613D21" w:rsidRPr="00497A81">
        <w:rPr>
          <w:rFonts w:ascii="Times New Roman" w:hAnsi="Times New Roman" w:cs="Times New Roman"/>
          <w:sz w:val="24"/>
          <w:szCs w:val="24"/>
          <w:lang w:val="en-GB"/>
        </w:rPr>
        <w:t>is harmed is incompatible with the mutual gain</w:t>
      </w:r>
      <w:r w:rsidR="00B21274">
        <w:rPr>
          <w:rFonts w:ascii="Times New Roman" w:hAnsi="Times New Roman" w:cs="Times New Roman"/>
          <w:sz w:val="24"/>
          <w:szCs w:val="24"/>
          <w:lang w:val="en-GB"/>
        </w:rPr>
        <w:t>s</w:t>
      </w:r>
      <w:r w:rsidR="00613D21" w:rsidRPr="00497A81">
        <w:rPr>
          <w:rFonts w:ascii="Times New Roman" w:hAnsi="Times New Roman" w:cs="Times New Roman"/>
          <w:sz w:val="24"/>
          <w:szCs w:val="24"/>
          <w:lang w:val="en-GB"/>
        </w:rPr>
        <w:t xml:space="preserve"> standard</w:t>
      </w:r>
      <w:r w:rsidR="004C0F49" w:rsidRPr="00497A81">
        <w:rPr>
          <w:rFonts w:ascii="Times New Roman" w:hAnsi="Times New Roman" w:cs="Times New Roman"/>
          <w:sz w:val="24"/>
          <w:szCs w:val="24"/>
          <w:lang w:val="en-GB"/>
        </w:rPr>
        <w:t>.</w:t>
      </w:r>
      <w:r w:rsidR="00613D21" w:rsidRPr="00497A81">
        <w:rPr>
          <w:rFonts w:ascii="Times New Roman" w:hAnsi="Times New Roman" w:cs="Times New Roman"/>
          <w:sz w:val="24"/>
          <w:szCs w:val="24"/>
          <w:lang w:val="en-GB"/>
        </w:rPr>
        <w:t xml:space="preserve"> </w:t>
      </w:r>
      <w:r w:rsidR="004C0F49" w:rsidRPr="00497A81">
        <w:rPr>
          <w:rFonts w:ascii="Times New Roman" w:hAnsi="Times New Roman" w:cs="Times New Roman"/>
          <w:sz w:val="24"/>
          <w:szCs w:val="24"/>
          <w:lang w:val="en-GB"/>
        </w:rPr>
        <w:t>According to both standards, there is only lip service to the idea of the consumer as principal. In fact, in the mutual gains standard, it is clear that the consumer is put on equal grounds with the entrepreneur and neither maximization nor distribution of gains matters. Even worse for the total welfare standard. In this case, the principal’s interest is merely instrumental (indeed, the same goes for the interest of the entrepreneur) towards an aggregate goal</w:t>
      </w:r>
      <w:r w:rsidR="004A4B52" w:rsidRPr="00497A81">
        <w:rPr>
          <w:rFonts w:ascii="Times New Roman" w:hAnsi="Times New Roman" w:cs="Times New Roman"/>
          <w:sz w:val="24"/>
          <w:szCs w:val="24"/>
          <w:lang w:val="en-GB"/>
        </w:rPr>
        <w:t xml:space="preserve"> –</w:t>
      </w:r>
      <w:r w:rsidR="004C0F49" w:rsidRPr="00497A81">
        <w:rPr>
          <w:rFonts w:ascii="Times New Roman" w:hAnsi="Times New Roman" w:cs="Times New Roman"/>
          <w:sz w:val="24"/>
          <w:szCs w:val="24"/>
          <w:lang w:val="en-GB"/>
        </w:rPr>
        <w:t xml:space="preserve"> total</w:t>
      </w:r>
      <w:r w:rsidR="004A4B52" w:rsidRPr="00497A81">
        <w:rPr>
          <w:rFonts w:ascii="Times New Roman" w:hAnsi="Times New Roman" w:cs="Times New Roman"/>
          <w:sz w:val="24"/>
          <w:szCs w:val="24"/>
          <w:lang w:val="en-GB"/>
        </w:rPr>
        <w:t xml:space="preserve"> </w:t>
      </w:r>
      <w:r w:rsidR="004C0F49" w:rsidRPr="00497A81">
        <w:rPr>
          <w:rFonts w:ascii="Times New Roman" w:hAnsi="Times New Roman" w:cs="Times New Roman"/>
          <w:sz w:val="24"/>
          <w:szCs w:val="24"/>
          <w:lang w:val="en-GB"/>
        </w:rPr>
        <w:t>welfare</w:t>
      </w:r>
      <w:r w:rsidR="004A4B52" w:rsidRPr="00497A81">
        <w:rPr>
          <w:rFonts w:ascii="Times New Roman" w:hAnsi="Times New Roman" w:cs="Times New Roman"/>
          <w:sz w:val="24"/>
          <w:szCs w:val="24"/>
          <w:lang w:val="en-GB"/>
        </w:rPr>
        <w:t xml:space="preserve"> –</w:t>
      </w:r>
      <w:r w:rsidR="004C0F49" w:rsidRPr="00497A81">
        <w:rPr>
          <w:rFonts w:ascii="Times New Roman" w:hAnsi="Times New Roman" w:cs="Times New Roman"/>
          <w:sz w:val="24"/>
          <w:szCs w:val="24"/>
          <w:lang w:val="en-GB"/>
        </w:rPr>
        <w:t xml:space="preserve"> that admits the sacrifice of the “principal”’s interest as long as the aggregate value increases.</w:t>
      </w:r>
    </w:p>
    <w:p w14:paraId="03B0B52B" w14:textId="6AF19C38" w:rsidR="008C019A" w:rsidRPr="00497A81" w:rsidRDefault="00613D21" w:rsidP="002610A1">
      <w:pPr>
        <w:spacing w:after="120" w:line="240" w:lineRule="auto"/>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 xml:space="preserve">Sunstein and Bar-Gill, instead, originally </w:t>
      </w:r>
      <w:r w:rsidR="004C0F49" w:rsidRPr="00497A81">
        <w:rPr>
          <w:rFonts w:ascii="Times New Roman" w:hAnsi="Times New Roman" w:cs="Times New Roman"/>
          <w:sz w:val="24"/>
          <w:szCs w:val="24"/>
          <w:lang w:val="en-GB"/>
        </w:rPr>
        <w:t>declare</w:t>
      </w:r>
      <w:r w:rsidRPr="00497A81">
        <w:rPr>
          <w:rFonts w:ascii="Times New Roman" w:hAnsi="Times New Roman" w:cs="Times New Roman"/>
          <w:sz w:val="24"/>
          <w:szCs w:val="24"/>
          <w:lang w:val="en-GB"/>
        </w:rPr>
        <w:t xml:space="preserve"> commitment to social welfare analysis, and argue that the principal agent framework can actually be used for “pushing welfare analysis further and deeper” (p. 3). However, when they apply the framework to regulated market behaviour, the connection with social welfare becomes mysterious: when consumers are not rational, if the legal system does not act as consumer-agent, entrepreneurs can “steer consumers towards products that are less beneficial (to consumers) but more profitable (to sellers)” (p. 14).</w:t>
      </w:r>
      <w:r w:rsidR="004C0F49" w:rsidRPr="00497A81">
        <w:rPr>
          <w:rFonts w:ascii="Times New Roman" w:hAnsi="Times New Roman" w:cs="Times New Roman"/>
          <w:sz w:val="24"/>
          <w:szCs w:val="24"/>
          <w:lang w:val="en-GB"/>
        </w:rPr>
        <w:t xml:space="preserve"> If their approach aims at social welfare maximization (as they claim), then there is no problem in reducing benefits to consumers to increase profits for entrepreneurs as long as the benefits offset the losses. But, again, if this is the case, total welfare is the principal, not the consumer.</w:t>
      </w:r>
    </w:p>
    <w:p w14:paraId="0A906412" w14:textId="183F484C" w:rsidR="0019311C" w:rsidRDefault="007E0575" w:rsidP="002610A1">
      <w:pPr>
        <w:spacing w:after="120" w:line="240" w:lineRule="auto"/>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This confusion is to some extent typical of the economic analysis of contract law.</w:t>
      </w:r>
      <w:r w:rsidRPr="00497A81">
        <w:rPr>
          <w:rStyle w:val="Rimandonotaapidipagina"/>
          <w:rFonts w:ascii="Times New Roman" w:hAnsi="Times New Roman" w:cs="Times New Roman"/>
          <w:sz w:val="24"/>
          <w:szCs w:val="24"/>
          <w:lang w:val="en-GB"/>
        </w:rPr>
        <w:footnoteReference w:id="62"/>
      </w:r>
      <w:r w:rsidRPr="00497A81">
        <w:rPr>
          <w:rFonts w:ascii="Times New Roman" w:hAnsi="Times New Roman" w:cs="Times New Roman"/>
          <w:sz w:val="24"/>
          <w:szCs w:val="24"/>
          <w:lang w:val="en-GB"/>
        </w:rPr>
        <w:t xml:space="preserve"> It is even less surprising once the mainstream approach meets principal-agent theory and qualifies the consumer as principal. In fact, if you assume the total welfare standard and the principal-agent approach and qualify the consumer as principal, you have a conflict in all those case in which total welfare could be increased to the detriment of the consumer</w:t>
      </w:r>
      <w:r w:rsidR="004A4B52" w:rsidRPr="00497A81">
        <w:rPr>
          <w:rFonts w:ascii="Times New Roman" w:hAnsi="Times New Roman" w:cs="Times New Roman"/>
          <w:sz w:val="24"/>
          <w:szCs w:val="24"/>
          <w:lang w:val="en-GB"/>
        </w:rPr>
        <w:t>-“principal”</w:t>
      </w:r>
      <w:r w:rsidRPr="00497A81">
        <w:rPr>
          <w:rFonts w:ascii="Times New Roman" w:hAnsi="Times New Roman" w:cs="Times New Roman"/>
          <w:sz w:val="24"/>
          <w:szCs w:val="24"/>
          <w:lang w:val="en-GB"/>
        </w:rPr>
        <w:t>.</w:t>
      </w:r>
      <w:r w:rsidR="0019311C">
        <w:rPr>
          <w:rFonts w:ascii="Times New Roman" w:hAnsi="Times New Roman" w:cs="Times New Roman"/>
          <w:sz w:val="24"/>
          <w:szCs w:val="24"/>
          <w:lang w:val="en-GB"/>
        </w:rPr>
        <w:t xml:space="preserve"> In fact, from an overall welfare perspective – under the heroic assumption of the welfare neutrality of distributive effects – one cares only about the deadweight loss. However, in the principal-agent model, the homologous of the deadweight loss is the residual loss, which is not the reduction in overall welfare, but in the welfare of the principal.</w:t>
      </w:r>
      <w:r w:rsidR="0019311C">
        <w:rPr>
          <w:rStyle w:val="Rimandonotaapidipagina"/>
          <w:rFonts w:ascii="Times New Roman" w:hAnsi="Times New Roman" w:cs="Times New Roman"/>
          <w:sz w:val="24"/>
          <w:szCs w:val="24"/>
          <w:lang w:val="en-GB"/>
        </w:rPr>
        <w:footnoteReference w:id="63"/>
      </w:r>
      <w:r w:rsidRPr="00497A81">
        <w:rPr>
          <w:rFonts w:ascii="Times New Roman" w:hAnsi="Times New Roman" w:cs="Times New Roman"/>
          <w:sz w:val="24"/>
          <w:szCs w:val="24"/>
          <w:lang w:val="en-GB"/>
        </w:rPr>
        <w:t xml:space="preserve"> </w:t>
      </w:r>
      <w:r w:rsidR="00B21274">
        <w:rPr>
          <w:rFonts w:ascii="Times New Roman" w:hAnsi="Times New Roman" w:cs="Times New Roman"/>
          <w:sz w:val="24"/>
          <w:szCs w:val="24"/>
          <w:lang w:val="en-GB"/>
        </w:rPr>
        <w:t>As the minimization of agency costs advantages the principal and does not necessarily increase overall welfare, the connection between the two standards is inexistent.</w:t>
      </w:r>
    </w:p>
    <w:p w14:paraId="56D0D209" w14:textId="7868A0BE" w:rsidR="007E0575" w:rsidRPr="00497A81" w:rsidRDefault="007E0575" w:rsidP="00DA09BA">
      <w:pPr>
        <w:tabs>
          <w:tab w:val="left" w:pos="8109"/>
        </w:tabs>
        <w:spacing w:after="0"/>
        <w:jc w:val="both"/>
        <w:rPr>
          <w:rFonts w:ascii="Times New Roman" w:hAnsi="Times New Roman" w:cs="Times New Roman"/>
          <w:sz w:val="24"/>
          <w:szCs w:val="24"/>
          <w:lang w:val="en-GB"/>
        </w:rPr>
      </w:pPr>
      <w:r w:rsidRPr="00497A81">
        <w:rPr>
          <w:rFonts w:ascii="Times New Roman" w:hAnsi="Times New Roman" w:cs="Times New Roman"/>
          <w:sz w:val="24"/>
          <w:szCs w:val="24"/>
          <w:lang w:val="en-GB"/>
        </w:rPr>
        <w:t>Our conception of allocative efficiency offers a simple way out. Total value does not matter. Only consumer welfare has intrinsic value a</w:t>
      </w:r>
      <w:r w:rsidR="002A676D" w:rsidRPr="00497A81">
        <w:rPr>
          <w:rFonts w:ascii="Times New Roman" w:hAnsi="Times New Roman" w:cs="Times New Roman"/>
          <w:sz w:val="24"/>
          <w:szCs w:val="24"/>
          <w:lang w:val="en-GB"/>
        </w:rPr>
        <w:t>n</w:t>
      </w:r>
      <w:r w:rsidRPr="00497A81">
        <w:rPr>
          <w:rFonts w:ascii="Times New Roman" w:hAnsi="Times New Roman" w:cs="Times New Roman"/>
          <w:sz w:val="24"/>
          <w:szCs w:val="24"/>
          <w:lang w:val="en-GB"/>
        </w:rPr>
        <w:t>d should be maximized. Then, the welfare of the entrepreneur matters to the extent that increas</w:t>
      </w:r>
      <w:r w:rsidR="00B21274">
        <w:rPr>
          <w:rFonts w:ascii="Times New Roman" w:hAnsi="Times New Roman" w:cs="Times New Roman"/>
          <w:sz w:val="24"/>
          <w:szCs w:val="24"/>
          <w:lang w:val="en-GB"/>
        </w:rPr>
        <w:t>ing it is instrumental to</w:t>
      </w:r>
      <w:r w:rsidRPr="00497A81">
        <w:rPr>
          <w:rFonts w:ascii="Times New Roman" w:hAnsi="Times New Roman" w:cs="Times New Roman"/>
          <w:sz w:val="24"/>
          <w:szCs w:val="24"/>
          <w:lang w:val="en-GB"/>
        </w:rPr>
        <w:t xml:space="preserve"> ensur</w:t>
      </w:r>
      <w:r w:rsidR="00B21274">
        <w:rPr>
          <w:rFonts w:ascii="Times New Roman" w:hAnsi="Times New Roman" w:cs="Times New Roman"/>
          <w:sz w:val="24"/>
          <w:szCs w:val="24"/>
          <w:lang w:val="en-GB"/>
        </w:rPr>
        <w:t>ing</w:t>
      </w:r>
      <w:r w:rsidR="00571124">
        <w:rPr>
          <w:rFonts w:ascii="Times New Roman" w:hAnsi="Times New Roman" w:cs="Times New Roman"/>
          <w:sz w:val="24"/>
          <w:szCs w:val="24"/>
          <w:lang w:val="en-GB"/>
        </w:rPr>
        <w:t xml:space="preserve"> the agent’s</w:t>
      </w:r>
      <w:r w:rsidRPr="00497A81">
        <w:rPr>
          <w:rFonts w:ascii="Times New Roman" w:hAnsi="Times New Roman" w:cs="Times New Roman"/>
          <w:sz w:val="24"/>
          <w:szCs w:val="24"/>
          <w:lang w:val="en-GB"/>
        </w:rPr>
        <w:t xml:space="preserve"> cooperation</w:t>
      </w:r>
      <w:r w:rsidR="00B21274">
        <w:rPr>
          <w:rFonts w:ascii="Times New Roman" w:hAnsi="Times New Roman" w:cs="Times New Roman"/>
          <w:sz w:val="24"/>
          <w:szCs w:val="24"/>
          <w:lang w:val="en-GB"/>
        </w:rPr>
        <w:t xml:space="preserve"> towards</w:t>
      </w:r>
      <w:r w:rsidR="00D71755" w:rsidRPr="00497A81">
        <w:rPr>
          <w:rFonts w:ascii="Times New Roman" w:hAnsi="Times New Roman" w:cs="Times New Roman"/>
          <w:sz w:val="24"/>
          <w:szCs w:val="24"/>
          <w:lang w:val="en-GB"/>
        </w:rPr>
        <w:t xml:space="preserve"> </w:t>
      </w:r>
      <w:r w:rsidR="00B21274">
        <w:rPr>
          <w:rFonts w:ascii="Times New Roman" w:hAnsi="Times New Roman" w:cs="Times New Roman"/>
          <w:sz w:val="24"/>
          <w:szCs w:val="24"/>
          <w:lang w:val="en-GB"/>
        </w:rPr>
        <w:t>more allocatively efficient m</w:t>
      </w:r>
      <w:r w:rsidR="00B94EE4">
        <w:rPr>
          <w:rFonts w:ascii="Times New Roman" w:hAnsi="Times New Roman" w:cs="Times New Roman"/>
          <w:sz w:val="24"/>
          <w:szCs w:val="24"/>
          <w:lang w:val="en-GB"/>
        </w:rPr>
        <w:t>arket outcomes</w:t>
      </w:r>
      <w:r w:rsidRPr="00497A81">
        <w:rPr>
          <w:rFonts w:ascii="Times New Roman" w:hAnsi="Times New Roman" w:cs="Times New Roman"/>
          <w:sz w:val="24"/>
          <w:szCs w:val="24"/>
          <w:lang w:val="en-GB"/>
        </w:rPr>
        <w:t>.</w:t>
      </w:r>
      <w:r w:rsidR="002A676D" w:rsidRPr="00497A81">
        <w:rPr>
          <w:rFonts w:ascii="Times New Roman" w:hAnsi="Times New Roman" w:cs="Times New Roman"/>
          <w:sz w:val="24"/>
          <w:szCs w:val="24"/>
          <w:lang w:val="en-GB"/>
        </w:rPr>
        <w:t xml:space="preserve"> Just like the welfare of agents in a principal-agent model is increased only to the extent that this is necessary to improve the outcome for the principal.</w:t>
      </w:r>
    </w:p>
    <w:p w14:paraId="0688E416" w14:textId="7F78701E" w:rsidR="008C019A" w:rsidRPr="00497A81" w:rsidRDefault="008C019A" w:rsidP="00DA09BA">
      <w:pPr>
        <w:tabs>
          <w:tab w:val="left" w:pos="1672"/>
        </w:tabs>
        <w:spacing w:after="0"/>
        <w:rPr>
          <w:rFonts w:ascii="Times New Roman" w:hAnsi="Times New Roman" w:cs="Times New Roman"/>
          <w:sz w:val="24"/>
          <w:szCs w:val="24"/>
          <w:lang w:val="en-GB"/>
        </w:rPr>
      </w:pPr>
    </w:p>
    <w:p w14:paraId="66B2591B" w14:textId="2ED1ECB7" w:rsidR="006570AA" w:rsidRPr="00497A81" w:rsidRDefault="00F55CBF" w:rsidP="00DA09BA">
      <w:pPr>
        <w:tabs>
          <w:tab w:val="left" w:pos="1672"/>
        </w:tabs>
        <w:spacing w:after="0"/>
        <w:rPr>
          <w:rFonts w:ascii="Times New Roman" w:hAnsi="Times New Roman" w:cs="Times New Roman"/>
          <w:sz w:val="24"/>
          <w:szCs w:val="24"/>
          <w:lang w:val="en-GB"/>
        </w:rPr>
      </w:pPr>
      <w:r w:rsidRPr="00497A81">
        <w:rPr>
          <w:rFonts w:ascii="Times New Roman" w:hAnsi="Times New Roman" w:cs="Times New Roman"/>
          <w:b/>
          <w:sz w:val="24"/>
          <w:szCs w:val="24"/>
          <w:lang w:val="en-GB"/>
        </w:rPr>
        <w:t>2. The Principal-Agent Structure of EU Consumer</w:t>
      </w:r>
      <w:r w:rsidR="00017A7C" w:rsidRPr="00497A81">
        <w:rPr>
          <w:rFonts w:ascii="Times New Roman" w:hAnsi="Times New Roman" w:cs="Times New Roman"/>
          <w:b/>
          <w:sz w:val="24"/>
          <w:szCs w:val="24"/>
          <w:lang w:val="en-GB"/>
        </w:rPr>
        <w:t xml:space="preserve"> </w:t>
      </w:r>
      <w:r w:rsidRPr="00497A81">
        <w:rPr>
          <w:rFonts w:ascii="Times New Roman" w:hAnsi="Times New Roman" w:cs="Times New Roman"/>
          <w:b/>
          <w:sz w:val="24"/>
          <w:szCs w:val="24"/>
          <w:lang w:val="en-GB"/>
        </w:rPr>
        <w:t xml:space="preserve">and Corporate </w:t>
      </w:r>
      <w:r w:rsidR="00BD657F">
        <w:rPr>
          <w:rFonts w:ascii="Times New Roman" w:hAnsi="Times New Roman" w:cs="Times New Roman"/>
          <w:b/>
          <w:sz w:val="24"/>
          <w:szCs w:val="24"/>
          <w:lang w:val="en-GB"/>
        </w:rPr>
        <w:t xml:space="preserve">Governance </w:t>
      </w:r>
      <w:r w:rsidRPr="00497A81">
        <w:rPr>
          <w:rFonts w:ascii="Times New Roman" w:hAnsi="Times New Roman" w:cs="Times New Roman"/>
          <w:b/>
          <w:sz w:val="24"/>
          <w:szCs w:val="24"/>
          <w:lang w:val="en-GB"/>
        </w:rPr>
        <w:t>Policies</w:t>
      </w:r>
    </w:p>
    <w:p w14:paraId="2FA48ADC" w14:textId="58676D35" w:rsidR="00202E42" w:rsidRDefault="00202E42" w:rsidP="00DA09BA">
      <w:pPr>
        <w:tabs>
          <w:tab w:val="left" w:pos="1672"/>
        </w:tabs>
        <w:spacing w:after="0"/>
        <w:rPr>
          <w:rFonts w:ascii="Times New Roman" w:hAnsi="Times New Roman" w:cs="Times New Roman"/>
          <w:sz w:val="24"/>
          <w:szCs w:val="24"/>
          <w:lang w:val="en-GB"/>
        </w:rPr>
      </w:pPr>
    </w:p>
    <w:p w14:paraId="5DA8C5D6" w14:textId="10002F46" w:rsidR="00BD657F" w:rsidRPr="00497A81" w:rsidRDefault="00BD657F" w:rsidP="002610A1">
      <w:pPr>
        <w:tabs>
          <w:tab w:val="left" w:pos="1672"/>
        </w:tabs>
        <w:spacing w:after="0"/>
        <w:jc w:val="both"/>
        <w:rPr>
          <w:rFonts w:ascii="Times New Roman" w:eastAsia="Times New Roman" w:hAnsi="Times New Roman" w:cs="Times New Roman"/>
          <w:color w:val="000000"/>
          <w:sz w:val="24"/>
          <w:szCs w:val="24"/>
          <w:shd w:val="clear" w:color="auto" w:fill="FFFFFF"/>
          <w:lang w:val="en-GB" w:eastAsia="de-DE"/>
        </w:rPr>
      </w:pPr>
      <w:r>
        <w:rPr>
          <w:rFonts w:ascii="Times New Roman" w:hAnsi="Times New Roman" w:cs="Times New Roman"/>
          <w:sz w:val="24"/>
          <w:szCs w:val="24"/>
          <w:lang w:val="en-GB"/>
        </w:rPr>
        <w:t xml:space="preserve">In this section, we discuss the basic features of the EU consumer and corporate governance policies. The aim is to show that our principal-multi agent framework applies equally well to both cases when the focus is on the microeconomic dimension of the policy. When, instead, the macro dimension becomes also explicit, the framework becomes more complex because of the interaction between the micro and the macro market rationales. We focus on EU consumer and corporate governance policies because while we argue they are conceptually connected, they are </w:t>
      </w:r>
      <w:r w:rsidR="009563ED">
        <w:rPr>
          <w:rFonts w:ascii="Times New Roman" w:hAnsi="Times New Roman" w:cs="Times New Roman"/>
          <w:sz w:val="24"/>
          <w:szCs w:val="24"/>
          <w:lang w:val="en-GB"/>
        </w:rPr>
        <w:t xml:space="preserve">generally seen as </w:t>
      </w:r>
      <w:r>
        <w:rPr>
          <w:rFonts w:ascii="Times New Roman" w:hAnsi="Times New Roman" w:cs="Times New Roman"/>
          <w:sz w:val="24"/>
          <w:szCs w:val="24"/>
          <w:lang w:val="en-GB"/>
        </w:rPr>
        <w:t xml:space="preserve">disconnected from a legal-systematic point of view. Thus, coherence here confirms the soundness of the framework sketched in section I., but it also gives a first example of its explanatory power. Moreover, even if they are directly disconnected from a legal-systematic point of view, indirectly they are connected by financial services – the topic of the </w:t>
      </w:r>
      <w:r w:rsidRPr="008906D8">
        <w:rPr>
          <w:rFonts w:ascii="Times New Roman" w:hAnsi="Times New Roman" w:cs="Times New Roman"/>
          <w:sz w:val="24"/>
          <w:szCs w:val="24"/>
          <w:lang w:val="en-GB"/>
        </w:rPr>
        <w:t xml:space="preserve">next </w:t>
      </w:r>
      <w:r w:rsidRPr="00DA09BA">
        <w:rPr>
          <w:rFonts w:ascii="Times New Roman" w:hAnsi="Times New Roman" w:cs="Times New Roman"/>
          <w:sz w:val="24"/>
          <w:szCs w:val="24"/>
          <w:lang w:val="en-GB"/>
        </w:rPr>
        <w:t>three</w:t>
      </w:r>
      <w:r>
        <w:rPr>
          <w:rFonts w:ascii="Times New Roman" w:hAnsi="Times New Roman" w:cs="Times New Roman"/>
          <w:sz w:val="24"/>
          <w:szCs w:val="24"/>
          <w:lang w:val="en-GB"/>
        </w:rPr>
        <w:t xml:space="preserve"> sections of this article. In fact, it is undeniable that in financial services regulation there is both a consumer and a corporate governance dimension.</w:t>
      </w:r>
    </w:p>
    <w:p w14:paraId="1841C7B0" w14:textId="77777777" w:rsidR="00202E42" w:rsidRPr="00497A81" w:rsidRDefault="00202E42" w:rsidP="00DA09BA">
      <w:pPr>
        <w:tabs>
          <w:tab w:val="left" w:pos="1672"/>
        </w:tabs>
        <w:spacing w:after="0"/>
        <w:rPr>
          <w:rFonts w:ascii="Times New Roman" w:hAnsi="Times New Roman" w:cs="Times New Roman"/>
          <w:sz w:val="24"/>
          <w:szCs w:val="24"/>
          <w:lang w:val="en-GB"/>
        </w:rPr>
      </w:pPr>
    </w:p>
    <w:p w14:paraId="4A4EECD0" w14:textId="21099D00" w:rsidR="00202E42" w:rsidRDefault="00202E42" w:rsidP="00202E42">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497A81">
        <w:rPr>
          <w:rFonts w:ascii="Times New Roman" w:eastAsia="Times New Roman" w:hAnsi="Times New Roman" w:cs="Times New Roman"/>
          <w:color w:val="000000"/>
          <w:sz w:val="24"/>
          <w:szCs w:val="24"/>
          <w:shd w:val="clear" w:color="auto" w:fill="FFFFFF"/>
          <w:lang w:val="en-GB" w:eastAsia="de-DE"/>
        </w:rPr>
        <w:t>a) Consumer policy has two pillars, consumer empowerment and consumer protection.</w:t>
      </w:r>
      <w:r w:rsidRPr="00497A81">
        <w:rPr>
          <w:rStyle w:val="Rimandonotaapidipagina"/>
          <w:rFonts w:ascii="Times New Roman" w:hAnsi="Times New Roman" w:cs="Times New Roman"/>
          <w:sz w:val="24"/>
          <w:szCs w:val="24"/>
          <w:lang w:val="en-GB"/>
        </w:rPr>
        <w:footnoteReference w:id="64"/>
      </w:r>
      <w:r w:rsidRPr="00497A81">
        <w:rPr>
          <w:rFonts w:ascii="Times New Roman" w:eastAsia="Times New Roman" w:hAnsi="Times New Roman" w:cs="Times New Roman"/>
          <w:color w:val="000000"/>
          <w:sz w:val="24"/>
          <w:szCs w:val="24"/>
          <w:shd w:val="clear" w:color="auto" w:fill="FFFFFF"/>
          <w:lang w:val="en-GB" w:eastAsia="de-DE"/>
        </w:rPr>
        <w:t xml:space="preserve"> Consumer lawyers typically associate the idea of consumer empowerment to the information duties of entrepreneurs in favour of consumers.</w:t>
      </w:r>
      <w:r w:rsidRPr="00497A81">
        <w:rPr>
          <w:rStyle w:val="Rimandonotaapidipagina"/>
          <w:rFonts w:ascii="Times New Roman" w:hAnsi="Times New Roman" w:cs="Times New Roman"/>
          <w:sz w:val="24"/>
          <w:szCs w:val="24"/>
          <w:lang w:val="en-GB"/>
        </w:rPr>
        <w:footnoteReference w:id="65"/>
      </w:r>
      <w:r w:rsidRPr="00497A81">
        <w:rPr>
          <w:rFonts w:ascii="Times New Roman" w:eastAsia="Times New Roman" w:hAnsi="Times New Roman" w:cs="Times New Roman"/>
          <w:color w:val="000000"/>
          <w:sz w:val="24"/>
          <w:szCs w:val="24"/>
          <w:shd w:val="clear" w:color="auto" w:fill="FFFFFF"/>
          <w:lang w:val="en-GB" w:eastAsia="de-DE"/>
        </w:rPr>
        <w:t xml:space="preserve"> Indeed, in the most recent Communications by the European Commission on its consumer policy (2007, 2012), this is the way in which the expression is primarily used. Importantly, the policy goal is to have consumers in the “driving seats” of the economy</w:t>
      </w:r>
      <w:r w:rsidRPr="00497A81">
        <w:rPr>
          <w:rStyle w:val="Rimandonotaapidipagina"/>
          <w:rFonts w:ascii="Times New Roman" w:hAnsi="Times New Roman" w:cs="Times New Roman"/>
          <w:sz w:val="24"/>
          <w:szCs w:val="24"/>
          <w:lang w:val="en-GB"/>
        </w:rPr>
        <w:footnoteReference w:id="66"/>
      </w:r>
      <w:r w:rsidRPr="00497A81">
        <w:rPr>
          <w:rFonts w:ascii="Times New Roman" w:eastAsia="Times New Roman" w:hAnsi="Times New Roman" w:cs="Times New Roman"/>
          <w:color w:val="000000"/>
          <w:sz w:val="24"/>
          <w:szCs w:val="24"/>
          <w:shd w:val="clear" w:color="auto" w:fill="FFFFFF"/>
          <w:lang w:val="en-GB" w:eastAsia="de-DE"/>
        </w:rPr>
        <w:t xml:space="preserve"> – arguably a different way to </w:t>
      </w:r>
      <w:r w:rsidRPr="00497A81">
        <w:rPr>
          <w:rFonts w:ascii="Times New Roman" w:eastAsia="Times New Roman" w:hAnsi="Times New Roman" w:cs="Times New Roman"/>
          <w:i/>
          <w:color w:val="000000"/>
          <w:sz w:val="24"/>
          <w:szCs w:val="24"/>
          <w:shd w:val="clear" w:color="auto" w:fill="FFFFFF"/>
          <w:lang w:val="en-GB" w:eastAsia="de-DE"/>
        </w:rPr>
        <w:t>express the idea of consumer sovereignty</w:t>
      </w:r>
      <w:r w:rsidRPr="00497A81">
        <w:rPr>
          <w:rFonts w:ascii="Times New Roman" w:eastAsia="Times New Roman" w:hAnsi="Times New Roman" w:cs="Times New Roman"/>
          <w:color w:val="000000"/>
          <w:sz w:val="24"/>
          <w:szCs w:val="24"/>
          <w:shd w:val="clear" w:color="auto" w:fill="FFFFFF"/>
          <w:lang w:val="en-GB" w:eastAsia="de-DE"/>
        </w:rPr>
        <w:t xml:space="preserve">. Moreover, </w:t>
      </w:r>
      <w:r w:rsidR="009563ED">
        <w:rPr>
          <w:rFonts w:ascii="Times New Roman" w:eastAsia="Times New Roman" w:hAnsi="Times New Roman" w:cs="Times New Roman"/>
          <w:color w:val="000000"/>
          <w:sz w:val="24"/>
          <w:szCs w:val="24"/>
          <w:shd w:val="clear" w:color="auto" w:fill="FFFFFF"/>
          <w:lang w:val="en-GB" w:eastAsia="de-DE"/>
        </w:rPr>
        <w:t xml:space="preserve">we also see that empowerment aims at enhancing the competition for active consumers forms of teamwork of primary agents. Normatively, </w:t>
      </w:r>
      <w:r w:rsidRPr="00497A81">
        <w:rPr>
          <w:rFonts w:ascii="Times New Roman" w:eastAsia="Times New Roman" w:hAnsi="Times New Roman" w:cs="Times New Roman"/>
          <w:color w:val="000000"/>
          <w:sz w:val="24"/>
          <w:szCs w:val="24"/>
          <w:shd w:val="clear" w:color="auto" w:fill="FFFFFF"/>
          <w:lang w:val="en-GB" w:eastAsia="de-DE"/>
        </w:rPr>
        <w:t>empowerment clearly counts as a procedural standard instrumental to a substantive goal: “Final outcomes for consumers in economic and non-economic terms are the ultimate arbiter of whether markets are failing or succeeding in terms of citizens’ expectations”.</w:t>
      </w:r>
      <w:r w:rsidRPr="00497A81">
        <w:rPr>
          <w:rStyle w:val="Rimandonotaapidipagina"/>
          <w:rFonts w:ascii="Times New Roman" w:hAnsi="Times New Roman" w:cs="Times New Roman"/>
          <w:sz w:val="24"/>
          <w:szCs w:val="24"/>
          <w:lang w:val="en-GB"/>
        </w:rPr>
        <w:footnoteReference w:id="67"/>
      </w:r>
      <w:r w:rsidRPr="00497A81">
        <w:rPr>
          <w:rFonts w:ascii="Times New Roman" w:eastAsia="Times New Roman" w:hAnsi="Times New Roman" w:cs="Times New Roman"/>
          <w:color w:val="000000"/>
          <w:sz w:val="24"/>
          <w:szCs w:val="24"/>
          <w:shd w:val="clear" w:color="auto" w:fill="FFFFFF"/>
          <w:lang w:val="en-GB" w:eastAsia="de-DE"/>
        </w:rPr>
        <w:t xml:space="preserve"> The improvements can consist in “greater choice, lower prices, and the affordability and availability of essential services”.</w:t>
      </w:r>
      <w:r w:rsidRPr="00497A81">
        <w:rPr>
          <w:rStyle w:val="Rimandonotaapidipagina"/>
          <w:rFonts w:ascii="Times New Roman" w:hAnsi="Times New Roman" w:cs="Times New Roman"/>
          <w:sz w:val="24"/>
          <w:szCs w:val="24"/>
          <w:lang w:val="en-GB"/>
        </w:rPr>
        <w:footnoteReference w:id="68"/>
      </w:r>
      <w:r w:rsidRPr="00497A81">
        <w:rPr>
          <w:rFonts w:ascii="Times New Roman" w:eastAsia="Times New Roman" w:hAnsi="Times New Roman" w:cs="Times New Roman"/>
          <w:color w:val="000000"/>
          <w:sz w:val="24"/>
          <w:szCs w:val="24"/>
          <w:shd w:val="clear" w:color="auto" w:fill="FFFFFF"/>
          <w:lang w:val="en-GB" w:eastAsia="de-DE"/>
        </w:rPr>
        <w:t xml:space="preserve"> Interestingly, these are all benefits that a perfectly competitive </w:t>
      </w:r>
      <w:r w:rsidR="009563ED">
        <w:rPr>
          <w:rFonts w:ascii="Times New Roman" w:eastAsia="Times New Roman" w:hAnsi="Times New Roman" w:cs="Times New Roman"/>
          <w:color w:val="000000"/>
          <w:sz w:val="24"/>
          <w:szCs w:val="24"/>
          <w:shd w:val="clear" w:color="auto" w:fill="FFFFFF"/>
          <w:lang w:val="en-GB" w:eastAsia="de-DE"/>
        </w:rPr>
        <w:t xml:space="preserve">(hence, allocatively efficient) </w:t>
      </w:r>
      <w:r w:rsidRPr="00497A81">
        <w:rPr>
          <w:rFonts w:ascii="Times New Roman" w:eastAsia="Times New Roman" w:hAnsi="Times New Roman" w:cs="Times New Roman"/>
          <w:color w:val="000000"/>
          <w:sz w:val="24"/>
          <w:szCs w:val="24"/>
          <w:shd w:val="clear" w:color="auto" w:fill="FFFFFF"/>
          <w:lang w:val="en-GB" w:eastAsia="de-DE"/>
        </w:rPr>
        <w:t>market would achieve –</w:t>
      </w:r>
      <w:r w:rsidR="009563ED">
        <w:rPr>
          <w:rFonts w:ascii="Times New Roman" w:eastAsia="Times New Roman" w:hAnsi="Times New Roman" w:cs="Times New Roman"/>
          <w:color w:val="000000"/>
          <w:sz w:val="24"/>
          <w:szCs w:val="24"/>
          <w:shd w:val="clear" w:color="auto" w:fill="FFFFFF"/>
          <w:lang w:val="en-GB" w:eastAsia="de-DE"/>
        </w:rPr>
        <w:t xml:space="preserve"> </w:t>
      </w:r>
      <w:r w:rsidRPr="00497A81">
        <w:rPr>
          <w:rFonts w:ascii="Times New Roman" w:eastAsia="Times New Roman" w:hAnsi="Times New Roman" w:cs="Times New Roman"/>
          <w:color w:val="000000"/>
          <w:sz w:val="24"/>
          <w:szCs w:val="24"/>
          <w:shd w:val="clear" w:color="auto" w:fill="FFFFFF"/>
          <w:lang w:val="en-GB" w:eastAsia="de-DE"/>
        </w:rPr>
        <w:t>with the notable exception of the availability of essential services, which opens the way to the concept of access justice.</w:t>
      </w:r>
      <w:r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69"/>
      </w:r>
      <w:r w:rsidRPr="00497A81">
        <w:rPr>
          <w:rFonts w:ascii="Times New Roman" w:eastAsia="Times New Roman" w:hAnsi="Times New Roman" w:cs="Times New Roman"/>
          <w:color w:val="000000"/>
          <w:sz w:val="24"/>
          <w:szCs w:val="24"/>
          <w:shd w:val="clear" w:color="auto" w:fill="FFFFFF"/>
          <w:lang w:val="en-GB" w:eastAsia="de-DE"/>
        </w:rPr>
        <w:t xml:space="preserve"> In other terms, the economic interest of the consumer is basically defined by reference to the outcome of perfect competition. The Commission however uses also another notion of consumer empowerment, which relates to consumers participation in the political process </w:t>
      </w:r>
      <w:r w:rsidRPr="00BD657F">
        <w:rPr>
          <w:rFonts w:ascii="Times New Roman" w:eastAsia="Times New Roman" w:hAnsi="Times New Roman" w:cs="Times New Roman"/>
          <w:color w:val="000000"/>
          <w:sz w:val="24"/>
          <w:szCs w:val="24"/>
          <w:shd w:val="clear" w:color="auto" w:fill="FFFFFF"/>
          <w:lang w:val="en-GB" w:eastAsia="de-DE"/>
        </w:rPr>
        <w:t>and it falls outside the conceptions of consumer sovereignty seen above</w:t>
      </w:r>
      <w:r w:rsidRPr="00497A81">
        <w:rPr>
          <w:rFonts w:ascii="Times New Roman" w:eastAsia="Times New Roman" w:hAnsi="Times New Roman" w:cs="Times New Roman"/>
          <w:color w:val="000000"/>
          <w:sz w:val="24"/>
          <w:szCs w:val="24"/>
          <w:shd w:val="clear" w:color="auto" w:fill="FFFFFF"/>
          <w:lang w:val="en-GB" w:eastAsia="de-DE"/>
        </w:rPr>
        <w:t>.</w:t>
      </w:r>
      <w:r w:rsidRPr="00497A81">
        <w:rPr>
          <w:rStyle w:val="Rimandonotaapidipagina"/>
          <w:rFonts w:ascii="Times New Roman" w:hAnsi="Times New Roman" w:cs="Times New Roman"/>
          <w:sz w:val="24"/>
          <w:szCs w:val="24"/>
          <w:lang w:val="en-GB"/>
        </w:rPr>
        <w:footnoteReference w:id="70"/>
      </w:r>
      <w:r w:rsidRPr="00497A81">
        <w:rPr>
          <w:rFonts w:ascii="Times New Roman" w:eastAsia="Times New Roman" w:hAnsi="Times New Roman" w:cs="Times New Roman"/>
          <w:color w:val="000000"/>
          <w:sz w:val="24"/>
          <w:szCs w:val="24"/>
          <w:shd w:val="clear" w:color="auto" w:fill="FFFFFF"/>
          <w:lang w:val="en-GB" w:eastAsia="de-DE"/>
        </w:rPr>
        <w:t xml:space="preserve"> The idea of consumer empowerment thus includes, but is also broader than, the autonomy conception of consumer sovereignty. First, giving information and educating </w:t>
      </w:r>
      <w:r w:rsidRPr="00497A81">
        <w:rPr>
          <w:rFonts w:ascii="Times New Roman" w:eastAsia="Times New Roman" w:hAnsi="Times New Roman" w:cs="Times New Roman"/>
          <w:color w:val="000000"/>
          <w:sz w:val="24"/>
          <w:szCs w:val="24"/>
          <w:shd w:val="clear" w:color="auto" w:fill="FFFFFF"/>
          <w:lang w:val="en-GB" w:eastAsia="de-DE"/>
        </w:rPr>
        <w:lastRenderedPageBreak/>
        <w:t>consumers – “helping consumers to help themselves”</w:t>
      </w:r>
      <w:r w:rsidRPr="00497A81">
        <w:rPr>
          <w:rStyle w:val="Rimandonotaapidipagina"/>
          <w:rFonts w:ascii="Times New Roman" w:hAnsi="Times New Roman" w:cs="Times New Roman"/>
          <w:sz w:val="24"/>
          <w:szCs w:val="24"/>
          <w:lang w:val="en-GB"/>
        </w:rPr>
        <w:footnoteReference w:id="71"/>
      </w:r>
      <w:r w:rsidRPr="00497A81">
        <w:rPr>
          <w:rFonts w:ascii="Times New Roman" w:eastAsia="Times New Roman" w:hAnsi="Times New Roman" w:cs="Times New Roman"/>
          <w:color w:val="000000"/>
          <w:sz w:val="24"/>
          <w:szCs w:val="24"/>
          <w:shd w:val="clear" w:color="auto" w:fill="FFFFFF"/>
          <w:lang w:val="en-GB" w:eastAsia="de-DE"/>
        </w:rPr>
        <w:t xml:space="preserve"> – is part of the idea of empowerment. The goal is having consumers that make “rational decisions”.</w:t>
      </w:r>
      <w:r w:rsidRPr="00497A81">
        <w:rPr>
          <w:rStyle w:val="Rimandonotaapidipagina"/>
          <w:rFonts w:ascii="Times New Roman" w:hAnsi="Times New Roman" w:cs="Times New Roman"/>
          <w:sz w:val="24"/>
          <w:szCs w:val="24"/>
          <w:lang w:val="en-GB"/>
        </w:rPr>
        <w:footnoteReference w:id="72"/>
      </w:r>
      <w:r w:rsidRPr="00497A81">
        <w:rPr>
          <w:rFonts w:ascii="Times New Roman" w:eastAsia="Times New Roman" w:hAnsi="Times New Roman" w:cs="Times New Roman"/>
          <w:color w:val="000000"/>
          <w:sz w:val="24"/>
          <w:szCs w:val="24"/>
          <w:shd w:val="clear" w:color="auto" w:fill="FFFFFF"/>
          <w:lang w:val="en-GB" w:eastAsia="de-DE"/>
        </w:rPr>
        <w:t xml:space="preserve"> From this perspective, the EU information paradigm is somewhere in between the autonomy and the welfare conception of consumer sovereignty: The legal system intervenes, but the intervention is merely procedural (perhaps, it is a form of means-paternalism</w:t>
      </w:r>
      <w:r w:rsidRPr="00497A81">
        <w:rPr>
          <w:rStyle w:val="Rimandonotaapidipagina"/>
          <w:rFonts w:ascii="Times New Roman" w:hAnsi="Times New Roman" w:cs="Times New Roman"/>
          <w:sz w:val="24"/>
          <w:szCs w:val="24"/>
          <w:lang w:val="en-GB"/>
        </w:rPr>
        <w:footnoteReference w:id="73"/>
      </w:r>
      <w:r w:rsidRPr="00497A81">
        <w:rPr>
          <w:rFonts w:ascii="Times New Roman" w:eastAsia="Times New Roman" w:hAnsi="Times New Roman" w:cs="Times New Roman"/>
          <w:color w:val="000000"/>
          <w:sz w:val="24"/>
          <w:szCs w:val="24"/>
          <w:shd w:val="clear" w:color="auto" w:fill="FFFFFF"/>
          <w:lang w:val="en-GB" w:eastAsia="de-DE"/>
        </w:rPr>
        <w:t>). Second, the idea of empowerment is also associated to the participation of consumers in the legislative process as stakeholders. Clearly, participating in the political process counts as exercising sovereignty as citizens and, thus, there is that element of delegation of decisional power that is incompatible with the autonomy conception of consumer sovereignty. As the welfare conception is about the outcomes, this political idea of empowerment is also alien to the welfare conception of consumer sovereignty. Nonetheless, the abovementioned considerations about regulation as a form of teamwork between the legal system and the primary agents of allocative efficiency allows to account for this role of consumers as stakeholders. Consumer protection refers to those cases where consumers cannot help themselves.</w:t>
      </w:r>
      <w:r w:rsidRPr="00497A81">
        <w:rPr>
          <w:rStyle w:val="Rimandonotaapidipagina"/>
          <w:rFonts w:ascii="Times New Roman" w:hAnsi="Times New Roman" w:cs="Times New Roman"/>
          <w:sz w:val="24"/>
          <w:szCs w:val="24"/>
          <w:lang w:val="en-GB"/>
        </w:rPr>
        <w:footnoteReference w:id="74"/>
      </w:r>
      <w:r w:rsidRPr="00497A81">
        <w:rPr>
          <w:rFonts w:ascii="Times New Roman" w:eastAsia="Times New Roman" w:hAnsi="Times New Roman" w:cs="Times New Roman"/>
          <w:color w:val="000000"/>
          <w:sz w:val="24"/>
          <w:szCs w:val="24"/>
          <w:shd w:val="clear" w:color="auto" w:fill="FFFFFF"/>
          <w:lang w:val="en-GB" w:eastAsia="de-DE"/>
        </w:rPr>
        <w:t xml:space="preserve"> In other terms, </w:t>
      </w:r>
      <w:r w:rsidR="00F77EDE">
        <w:rPr>
          <w:rFonts w:ascii="Times New Roman" w:eastAsia="Times New Roman" w:hAnsi="Times New Roman" w:cs="Times New Roman"/>
          <w:color w:val="000000"/>
          <w:sz w:val="24"/>
          <w:szCs w:val="24"/>
          <w:shd w:val="clear" w:color="auto" w:fill="FFFFFF"/>
          <w:lang w:val="en-GB" w:eastAsia="de-DE"/>
        </w:rPr>
        <w:t>empowering consumers is considered an</w:t>
      </w:r>
      <w:r w:rsidRPr="00497A81">
        <w:rPr>
          <w:rFonts w:ascii="Times New Roman" w:eastAsia="Times New Roman" w:hAnsi="Times New Roman" w:cs="Times New Roman"/>
          <w:color w:val="000000"/>
          <w:sz w:val="24"/>
          <w:szCs w:val="24"/>
          <w:shd w:val="clear" w:color="auto" w:fill="FFFFFF"/>
          <w:lang w:val="en-GB" w:eastAsia="de-DE"/>
        </w:rPr>
        <w:t xml:space="preserve"> insufficient </w:t>
      </w:r>
      <w:r w:rsidR="00F77EDE">
        <w:rPr>
          <w:rFonts w:ascii="Times New Roman" w:eastAsia="Times New Roman" w:hAnsi="Times New Roman" w:cs="Times New Roman"/>
          <w:color w:val="000000"/>
          <w:sz w:val="24"/>
          <w:szCs w:val="24"/>
          <w:shd w:val="clear" w:color="auto" w:fill="FFFFFF"/>
          <w:lang w:val="en-GB" w:eastAsia="de-DE"/>
        </w:rPr>
        <w:t xml:space="preserve">form of teamwork </w:t>
      </w:r>
      <w:r w:rsidRPr="00497A81">
        <w:rPr>
          <w:rFonts w:ascii="Times New Roman" w:eastAsia="Times New Roman" w:hAnsi="Times New Roman" w:cs="Times New Roman"/>
          <w:color w:val="000000"/>
          <w:sz w:val="24"/>
          <w:szCs w:val="24"/>
          <w:shd w:val="clear" w:color="auto" w:fill="FFFFFF"/>
          <w:lang w:val="en-GB" w:eastAsia="de-DE"/>
        </w:rPr>
        <w:t>to foster allocative efficiency. For example, the intervention in health and safety issues is justified by the idea that there are “risks and threats which are beyond the control of individuals”.</w:t>
      </w:r>
      <w:r w:rsidRPr="00497A81">
        <w:rPr>
          <w:rStyle w:val="Rimandonotaapidipagina"/>
          <w:rFonts w:ascii="Times New Roman" w:hAnsi="Times New Roman" w:cs="Times New Roman"/>
          <w:sz w:val="24"/>
          <w:szCs w:val="24"/>
          <w:lang w:val="en-GB"/>
        </w:rPr>
        <w:footnoteReference w:id="75"/>
      </w:r>
      <w:r w:rsidRPr="00497A81">
        <w:rPr>
          <w:rFonts w:ascii="Times New Roman" w:eastAsia="Times New Roman" w:hAnsi="Times New Roman" w:cs="Times New Roman"/>
          <w:color w:val="000000"/>
          <w:sz w:val="24"/>
          <w:szCs w:val="24"/>
          <w:shd w:val="clear" w:color="auto" w:fill="FFFFFF"/>
          <w:lang w:val="en-GB" w:eastAsia="de-DE"/>
        </w:rPr>
        <w:t xml:space="preserve"> Already information economics explained that the costs of controlling the quality of certain attributes related to safety and health are so high that it is better if the law regulates them.</w:t>
      </w:r>
      <w:r w:rsidRPr="00497A81">
        <w:rPr>
          <w:rStyle w:val="Rimandonotaapidipagina"/>
          <w:rFonts w:ascii="Times New Roman" w:hAnsi="Times New Roman" w:cs="Times New Roman"/>
          <w:sz w:val="24"/>
          <w:szCs w:val="24"/>
          <w:lang w:val="en-GB"/>
        </w:rPr>
        <w:footnoteReference w:id="76"/>
      </w:r>
      <w:r w:rsidRPr="00497A81">
        <w:rPr>
          <w:rFonts w:ascii="Times New Roman" w:eastAsia="Times New Roman" w:hAnsi="Times New Roman" w:cs="Times New Roman"/>
          <w:color w:val="000000"/>
          <w:sz w:val="24"/>
          <w:szCs w:val="24"/>
          <w:shd w:val="clear" w:color="auto" w:fill="FFFFFF"/>
          <w:lang w:val="en-GB" w:eastAsia="de-DE"/>
        </w:rPr>
        <w:t xml:space="preserve"> </w:t>
      </w:r>
      <w:r w:rsidR="00F77EDE" w:rsidRPr="00DA09BA">
        <w:rPr>
          <w:rFonts w:ascii="Times New Roman" w:eastAsia="Times New Roman" w:hAnsi="Times New Roman" w:cs="Times New Roman"/>
          <w:color w:val="000000"/>
          <w:sz w:val="24"/>
          <w:szCs w:val="24"/>
          <w:shd w:val="clear" w:color="auto" w:fill="FFFFFF"/>
          <w:lang w:val="en-GB" w:eastAsia="de-DE"/>
        </w:rPr>
        <w:t>Notably, a</w:t>
      </w:r>
      <w:r w:rsidRPr="00532DE8">
        <w:rPr>
          <w:rFonts w:ascii="Times New Roman" w:eastAsia="Times New Roman" w:hAnsi="Times New Roman" w:cs="Times New Roman"/>
          <w:color w:val="000000"/>
          <w:sz w:val="24"/>
          <w:szCs w:val="24"/>
          <w:shd w:val="clear" w:color="auto" w:fill="FFFFFF"/>
          <w:lang w:val="en-GB" w:eastAsia="de-DE"/>
        </w:rPr>
        <w:t>n important sub-set of consumer protection rules relates to vulnerable consumers.</w:t>
      </w:r>
      <w:r w:rsidR="007825E7">
        <w:rPr>
          <w:rFonts w:ascii="Times New Roman" w:eastAsia="Times New Roman" w:hAnsi="Times New Roman" w:cs="Times New Roman"/>
          <w:color w:val="000000"/>
          <w:sz w:val="24"/>
          <w:szCs w:val="24"/>
          <w:shd w:val="clear" w:color="auto" w:fill="FFFFFF"/>
          <w:lang w:val="en-GB" w:eastAsia="de-DE"/>
        </w:rPr>
        <w:t xml:space="preserve"> </w:t>
      </w:r>
      <w:r w:rsidR="00F77EDE">
        <w:rPr>
          <w:rFonts w:ascii="Times New Roman" w:eastAsia="Times New Roman" w:hAnsi="Times New Roman" w:cs="Times New Roman"/>
          <w:color w:val="000000"/>
          <w:sz w:val="24"/>
          <w:szCs w:val="24"/>
          <w:shd w:val="clear" w:color="auto" w:fill="FFFFFF"/>
          <w:lang w:val="en-GB" w:eastAsia="de-DE"/>
        </w:rPr>
        <w:t>In case of vulnerability</w:t>
      </w:r>
      <w:r w:rsidRPr="00497A81">
        <w:rPr>
          <w:rFonts w:ascii="Times New Roman" w:eastAsia="Times New Roman" w:hAnsi="Times New Roman" w:cs="Times New Roman"/>
          <w:color w:val="000000"/>
          <w:sz w:val="24"/>
          <w:szCs w:val="24"/>
          <w:shd w:val="clear" w:color="auto" w:fill="FFFFFF"/>
          <w:lang w:val="en-GB" w:eastAsia="de-DE"/>
        </w:rPr>
        <w:t>, not all consumers are equally empowered.</w:t>
      </w:r>
      <w:r w:rsidR="00F77EDE">
        <w:rPr>
          <w:rFonts w:ascii="Times New Roman" w:eastAsia="Times New Roman" w:hAnsi="Times New Roman" w:cs="Times New Roman"/>
          <w:color w:val="000000"/>
          <w:sz w:val="24"/>
          <w:szCs w:val="24"/>
          <w:shd w:val="clear" w:color="auto" w:fill="FFFFFF"/>
          <w:lang w:val="en-GB" w:eastAsia="de-DE"/>
        </w:rPr>
        <w:t xml:space="preserve"> The idea then is that </w:t>
      </w:r>
      <w:r w:rsidR="009563ED">
        <w:rPr>
          <w:rFonts w:ascii="Times New Roman" w:eastAsia="Times New Roman" w:hAnsi="Times New Roman" w:cs="Times New Roman"/>
          <w:color w:val="000000"/>
          <w:sz w:val="24"/>
          <w:szCs w:val="24"/>
          <w:shd w:val="clear" w:color="auto" w:fill="FFFFFF"/>
          <w:lang w:val="en-GB" w:eastAsia="de-DE"/>
        </w:rPr>
        <w:t xml:space="preserve">enhancing </w:t>
      </w:r>
      <w:r w:rsidR="00F77EDE">
        <w:rPr>
          <w:rFonts w:ascii="Times New Roman" w:eastAsia="Times New Roman" w:hAnsi="Times New Roman" w:cs="Times New Roman"/>
          <w:color w:val="000000"/>
          <w:sz w:val="24"/>
          <w:szCs w:val="24"/>
          <w:shd w:val="clear" w:color="auto" w:fill="FFFFFF"/>
          <w:lang w:val="en-GB" w:eastAsia="de-DE"/>
        </w:rPr>
        <w:t xml:space="preserve">competition for the empowered consumers </w:t>
      </w:r>
      <w:r w:rsidR="009563ED">
        <w:rPr>
          <w:rFonts w:ascii="Times New Roman" w:eastAsia="Times New Roman" w:hAnsi="Times New Roman" w:cs="Times New Roman"/>
          <w:color w:val="000000"/>
          <w:sz w:val="24"/>
          <w:szCs w:val="24"/>
          <w:shd w:val="clear" w:color="auto" w:fill="FFFFFF"/>
          <w:lang w:val="en-GB" w:eastAsia="de-DE"/>
        </w:rPr>
        <w:t>is not an</w:t>
      </w:r>
      <w:r w:rsidR="00F77EDE">
        <w:rPr>
          <w:rFonts w:ascii="Times New Roman" w:eastAsia="Times New Roman" w:hAnsi="Times New Roman" w:cs="Times New Roman"/>
          <w:color w:val="000000"/>
          <w:sz w:val="24"/>
          <w:szCs w:val="24"/>
          <w:shd w:val="clear" w:color="auto" w:fill="FFFFFF"/>
          <w:lang w:val="en-GB" w:eastAsia="de-DE"/>
        </w:rPr>
        <w:t xml:space="preserve"> </w:t>
      </w:r>
      <w:r w:rsidR="009563ED">
        <w:rPr>
          <w:rFonts w:ascii="Times New Roman" w:eastAsia="Times New Roman" w:hAnsi="Times New Roman" w:cs="Times New Roman"/>
          <w:color w:val="000000"/>
          <w:sz w:val="24"/>
          <w:szCs w:val="24"/>
          <w:shd w:val="clear" w:color="auto" w:fill="FFFFFF"/>
          <w:lang w:val="en-GB" w:eastAsia="de-DE"/>
        </w:rPr>
        <w:t>allocatively efficient form</w:t>
      </w:r>
      <w:r w:rsidR="00F77EDE">
        <w:rPr>
          <w:rFonts w:ascii="Times New Roman" w:eastAsia="Times New Roman" w:hAnsi="Times New Roman" w:cs="Times New Roman"/>
          <w:color w:val="000000"/>
          <w:sz w:val="24"/>
          <w:szCs w:val="24"/>
          <w:shd w:val="clear" w:color="auto" w:fill="FFFFFF"/>
          <w:lang w:val="en-GB" w:eastAsia="de-DE"/>
        </w:rPr>
        <w:t xml:space="preserve"> of teamwork.</w:t>
      </w:r>
      <w:r w:rsidRPr="00497A81">
        <w:rPr>
          <w:rFonts w:ascii="Times New Roman" w:eastAsia="Times New Roman" w:hAnsi="Times New Roman" w:cs="Times New Roman"/>
          <w:color w:val="000000"/>
          <w:sz w:val="24"/>
          <w:szCs w:val="24"/>
          <w:shd w:val="clear" w:color="auto" w:fill="FFFFFF"/>
          <w:lang w:val="en-GB" w:eastAsia="de-DE"/>
        </w:rPr>
        <w:t xml:space="preserve"> </w:t>
      </w:r>
      <w:r w:rsidR="00F77EDE">
        <w:rPr>
          <w:rFonts w:ascii="Times New Roman" w:eastAsia="Times New Roman" w:hAnsi="Times New Roman" w:cs="Times New Roman"/>
          <w:color w:val="000000"/>
          <w:sz w:val="24"/>
          <w:szCs w:val="24"/>
          <w:shd w:val="clear" w:color="auto" w:fill="FFFFFF"/>
          <w:lang w:val="en-GB" w:eastAsia="de-DE"/>
        </w:rPr>
        <w:t>In general, then, w</w:t>
      </w:r>
      <w:r w:rsidRPr="00497A81">
        <w:rPr>
          <w:rFonts w:ascii="Times New Roman" w:eastAsia="Times New Roman" w:hAnsi="Times New Roman" w:cs="Times New Roman"/>
          <w:color w:val="000000"/>
          <w:sz w:val="24"/>
          <w:szCs w:val="24"/>
          <w:shd w:val="clear" w:color="auto" w:fill="FFFFFF"/>
          <w:lang w:val="en-GB" w:eastAsia="de-DE"/>
        </w:rPr>
        <w:t xml:space="preserve">hen protection is given, the legal system intervenes intrusively in the teamwork of the primary agents. Notably, this approach falls beyond the scope of the autonomy conception of consumer sovereignty. However, it is fully consistent with the welfare conception of this economic concept. The results of this conceptual comparison are important. </w:t>
      </w:r>
      <w:r w:rsidR="009563ED">
        <w:rPr>
          <w:rFonts w:ascii="Times New Roman" w:eastAsia="Times New Roman" w:hAnsi="Times New Roman" w:cs="Times New Roman"/>
          <w:color w:val="000000"/>
          <w:sz w:val="24"/>
          <w:szCs w:val="24"/>
          <w:shd w:val="clear" w:color="auto" w:fill="FFFFFF"/>
          <w:lang w:val="en-GB" w:eastAsia="de-DE"/>
        </w:rPr>
        <w:t>Considering</w:t>
      </w:r>
      <w:r w:rsidRPr="00497A81">
        <w:rPr>
          <w:rFonts w:ascii="Times New Roman" w:eastAsia="Times New Roman" w:hAnsi="Times New Roman" w:cs="Times New Roman"/>
          <w:color w:val="000000"/>
          <w:sz w:val="24"/>
          <w:szCs w:val="24"/>
          <w:shd w:val="clear" w:color="auto" w:fill="FFFFFF"/>
          <w:lang w:val="en-GB" w:eastAsia="de-DE"/>
        </w:rPr>
        <w:t xml:space="preserve"> the welfare of consumers </w:t>
      </w:r>
      <w:r w:rsidR="009563ED">
        <w:rPr>
          <w:rFonts w:ascii="Times New Roman" w:eastAsia="Times New Roman" w:hAnsi="Times New Roman" w:cs="Times New Roman"/>
          <w:color w:val="000000"/>
          <w:sz w:val="24"/>
          <w:szCs w:val="24"/>
          <w:shd w:val="clear" w:color="auto" w:fill="FFFFFF"/>
          <w:lang w:val="en-GB" w:eastAsia="de-DE"/>
        </w:rPr>
        <w:t>a</w:t>
      </w:r>
      <w:r w:rsidRPr="00497A81">
        <w:rPr>
          <w:rFonts w:ascii="Times New Roman" w:eastAsia="Times New Roman" w:hAnsi="Times New Roman" w:cs="Times New Roman"/>
          <w:color w:val="000000"/>
          <w:sz w:val="24"/>
          <w:szCs w:val="24"/>
          <w:shd w:val="clear" w:color="auto" w:fill="FFFFFF"/>
          <w:lang w:val="en-GB" w:eastAsia="de-DE"/>
        </w:rPr>
        <w:t xml:space="preserve">s the rationale of consumer policy is fully consistent with the framework adopted in this research. Furthermore, when the teamwork of primary agents is a reliable means, the legal systems remains on the background as enforcement mechanism. When there is the risk that entrepreneurs do not share valuable information, the legal system steps in, imposing consumer empowering </w:t>
      </w:r>
      <w:r w:rsidR="00F77EDE">
        <w:rPr>
          <w:rFonts w:ascii="Times New Roman" w:eastAsia="Times New Roman" w:hAnsi="Times New Roman" w:cs="Times New Roman"/>
          <w:color w:val="000000"/>
          <w:sz w:val="24"/>
          <w:szCs w:val="24"/>
          <w:shd w:val="clear" w:color="auto" w:fill="FFFFFF"/>
          <w:lang w:val="en-GB" w:eastAsia="de-DE"/>
        </w:rPr>
        <w:t xml:space="preserve">information </w:t>
      </w:r>
      <w:r w:rsidR="0070058B">
        <w:rPr>
          <w:rFonts w:ascii="Times New Roman" w:eastAsia="Times New Roman" w:hAnsi="Times New Roman" w:cs="Times New Roman"/>
          <w:color w:val="000000"/>
          <w:sz w:val="24"/>
          <w:szCs w:val="24"/>
          <w:shd w:val="clear" w:color="auto" w:fill="FFFFFF"/>
          <w:lang w:val="en-GB" w:eastAsia="de-DE"/>
        </w:rPr>
        <w:t>duties. When</w:t>
      </w:r>
      <w:r w:rsidRPr="00497A81">
        <w:rPr>
          <w:rFonts w:ascii="Times New Roman" w:eastAsia="Times New Roman" w:hAnsi="Times New Roman" w:cs="Times New Roman"/>
          <w:color w:val="000000"/>
          <w:sz w:val="24"/>
          <w:szCs w:val="24"/>
          <w:shd w:val="clear" w:color="auto" w:fill="FFFFFF"/>
          <w:lang w:val="en-GB" w:eastAsia="de-DE"/>
        </w:rPr>
        <w:t xml:space="preserve"> this approach is considered insufficient</w:t>
      </w:r>
      <w:r w:rsidR="0040797C" w:rsidRPr="00497A81">
        <w:rPr>
          <w:rFonts w:ascii="Times New Roman" w:eastAsia="Times New Roman" w:hAnsi="Times New Roman" w:cs="Times New Roman"/>
          <w:color w:val="000000"/>
          <w:sz w:val="24"/>
          <w:szCs w:val="24"/>
          <w:shd w:val="clear" w:color="auto" w:fill="FFFFFF"/>
          <w:lang w:val="en-GB" w:eastAsia="de-DE"/>
        </w:rPr>
        <w:t xml:space="preserve"> by the monitoring agent</w:t>
      </w:r>
      <w:r w:rsidRPr="00497A81">
        <w:rPr>
          <w:rFonts w:ascii="Times New Roman" w:eastAsia="Times New Roman" w:hAnsi="Times New Roman" w:cs="Times New Roman"/>
          <w:color w:val="000000"/>
          <w:sz w:val="24"/>
          <w:szCs w:val="24"/>
          <w:shd w:val="clear" w:color="auto" w:fill="FFFFFF"/>
          <w:lang w:val="en-GB" w:eastAsia="de-DE"/>
        </w:rPr>
        <w:t xml:space="preserve">, </w:t>
      </w:r>
      <w:r w:rsidR="0040797C" w:rsidRPr="00497A81">
        <w:rPr>
          <w:rFonts w:ascii="Times New Roman" w:eastAsia="Times New Roman" w:hAnsi="Times New Roman" w:cs="Times New Roman"/>
          <w:color w:val="000000"/>
          <w:sz w:val="24"/>
          <w:szCs w:val="24"/>
          <w:shd w:val="clear" w:color="auto" w:fill="FFFFFF"/>
          <w:lang w:val="en-GB" w:eastAsia="de-DE"/>
        </w:rPr>
        <w:t>the</w:t>
      </w:r>
      <w:r w:rsidRPr="00497A81">
        <w:rPr>
          <w:rFonts w:ascii="Times New Roman" w:eastAsia="Times New Roman" w:hAnsi="Times New Roman" w:cs="Times New Roman"/>
          <w:color w:val="000000"/>
          <w:sz w:val="24"/>
          <w:szCs w:val="24"/>
          <w:shd w:val="clear" w:color="auto" w:fill="FFFFFF"/>
          <w:lang w:val="en-GB" w:eastAsia="de-DE"/>
        </w:rPr>
        <w:t xml:space="preserve"> behaviour of primary agent</w:t>
      </w:r>
      <w:r w:rsidR="00F77EDE">
        <w:rPr>
          <w:rFonts w:ascii="Times New Roman" w:eastAsia="Times New Roman" w:hAnsi="Times New Roman" w:cs="Times New Roman"/>
          <w:color w:val="000000"/>
          <w:sz w:val="24"/>
          <w:szCs w:val="24"/>
          <w:shd w:val="clear" w:color="auto" w:fill="FFFFFF"/>
          <w:lang w:val="en-GB" w:eastAsia="de-DE"/>
        </w:rPr>
        <w:t xml:space="preserve"> is regulated by means of consumer protection</w:t>
      </w:r>
      <w:r w:rsidR="0040797C" w:rsidRPr="00497A81">
        <w:rPr>
          <w:rFonts w:ascii="Times New Roman" w:eastAsia="Times New Roman" w:hAnsi="Times New Roman" w:cs="Times New Roman"/>
          <w:color w:val="000000"/>
          <w:sz w:val="24"/>
          <w:szCs w:val="24"/>
          <w:shd w:val="clear" w:color="auto" w:fill="FFFFFF"/>
          <w:lang w:val="en-GB" w:eastAsia="de-DE"/>
        </w:rPr>
        <w:t>;</w:t>
      </w:r>
      <w:r w:rsidRPr="00497A81">
        <w:rPr>
          <w:rFonts w:ascii="Times New Roman" w:eastAsia="Times New Roman" w:hAnsi="Times New Roman" w:cs="Times New Roman"/>
          <w:color w:val="000000"/>
          <w:sz w:val="24"/>
          <w:szCs w:val="24"/>
          <w:shd w:val="clear" w:color="auto" w:fill="FFFFFF"/>
          <w:lang w:val="en-GB" w:eastAsia="de-DE"/>
        </w:rPr>
        <w:t xml:space="preserve"> </w:t>
      </w:r>
      <w:r w:rsidR="0040797C" w:rsidRPr="00497A81">
        <w:rPr>
          <w:rFonts w:ascii="Times New Roman" w:eastAsia="Times New Roman" w:hAnsi="Times New Roman" w:cs="Times New Roman"/>
          <w:color w:val="000000"/>
          <w:sz w:val="24"/>
          <w:szCs w:val="24"/>
          <w:shd w:val="clear" w:color="auto" w:fill="FFFFFF"/>
          <w:lang w:val="en-GB" w:eastAsia="de-DE"/>
        </w:rPr>
        <w:t>hence,</w:t>
      </w:r>
      <w:r w:rsidRPr="00497A81">
        <w:rPr>
          <w:rFonts w:ascii="Times New Roman" w:eastAsia="Times New Roman" w:hAnsi="Times New Roman" w:cs="Times New Roman"/>
          <w:color w:val="000000"/>
          <w:sz w:val="24"/>
          <w:szCs w:val="24"/>
          <w:shd w:val="clear" w:color="auto" w:fill="FFFFFF"/>
          <w:lang w:val="en-GB" w:eastAsia="de-DE"/>
        </w:rPr>
        <w:t xml:space="preserve"> </w:t>
      </w:r>
      <w:r w:rsidR="00F77EDE">
        <w:rPr>
          <w:rFonts w:ascii="Times New Roman" w:eastAsia="Times New Roman" w:hAnsi="Times New Roman" w:cs="Times New Roman"/>
          <w:color w:val="000000"/>
          <w:sz w:val="24"/>
          <w:szCs w:val="24"/>
          <w:shd w:val="clear" w:color="auto" w:fill="FFFFFF"/>
          <w:lang w:val="en-GB" w:eastAsia="de-DE"/>
        </w:rPr>
        <w:t xml:space="preserve">in the latter case, </w:t>
      </w:r>
      <w:r w:rsidRPr="00497A81">
        <w:rPr>
          <w:rFonts w:ascii="Times New Roman" w:eastAsia="Times New Roman" w:hAnsi="Times New Roman" w:cs="Times New Roman"/>
          <w:color w:val="000000"/>
          <w:sz w:val="24"/>
          <w:szCs w:val="24"/>
          <w:shd w:val="clear" w:color="auto" w:fill="FFFFFF"/>
          <w:lang w:val="en-GB" w:eastAsia="de-DE"/>
        </w:rPr>
        <w:t>the legal system directly protects consumers from entrepreneurs.</w:t>
      </w:r>
      <w:r w:rsidR="006E6CDF">
        <w:rPr>
          <w:rFonts w:ascii="Times New Roman" w:eastAsia="Times New Roman" w:hAnsi="Times New Roman" w:cs="Times New Roman"/>
          <w:color w:val="000000"/>
          <w:sz w:val="24"/>
          <w:szCs w:val="24"/>
          <w:shd w:val="clear" w:color="auto" w:fill="FFFFFF"/>
          <w:lang w:val="en-GB" w:eastAsia="de-DE"/>
        </w:rPr>
        <w:t xml:space="preserve"> It is interesting to highlight that</w:t>
      </w:r>
      <w:r w:rsidR="00DA255B">
        <w:rPr>
          <w:rFonts w:ascii="Times New Roman" w:eastAsia="Times New Roman" w:hAnsi="Times New Roman" w:cs="Times New Roman"/>
          <w:color w:val="000000"/>
          <w:sz w:val="24"/>
          <w:szCs w:val="24"/>
          <w:shd w:val="clear" w:color="auto" w:fill="FFFFFF"/>
          <w:lang w:val="en-GB" w:eastAsia="de-DE"/>
        </w:rPr>
        <w:t>,</w:t>
      </w:r>
      <w:r w:rsidR="006E6CDF">
        <w:rPr>
          <w:rFonts w:ascii="Times New Roman" w:eastAsia="Times New Roman" w:hAnsi="Times New Roman" w:cs="Times New Roman"/>
          <w:color w:val="000000"/>
          <w:sz w:val="24"/>
          <w:szCs w:val="24"/>
          <w:shd w:val="clear" w:color="auto" w:fill="FFFFFF"/>
          <w:lang w:val="en-GB" w:eastAsia="de-DE"/>
        </w:rPr>
        <w:t xml:space="preserve"> in some occasions, the Commission treats the terms “consumer” and “investor” as synonyms.</w:t>
      </w:r>
      <w:r w:rsidR="006E6CDF">
        <w:rPr>
          <w:rStyle w:val="Rimandonotaapidipagina"/>
          <w:rFonts w:ascii="Times New Roman" w:eastAsia="Times New Roman" w:hAnsi="Times New Roman" w:cs="Times New Roman"/>
          <w:color w:val="000000"/>
          <w:sz w:val="24"/>
          <w:szCs w:val="24"/>
          <w:shd w:val="clear" w:color="auto" w:fill="FFFFFF"/>
          <w:lang w:val="en-GB" w:eastAsia="de-DE"/>
        </w:rPr>
        <w:footnoteReference w:id="77"/>
      </w:r>
      <w:r w:rsidR="006E6CDF">
        <w:rPr>
          <w:rFonts w:ascii="Times New Roman" w:eastAsia="Times New Roman" w:hAnsi="Times New Roman" w:cs="Times New Roman"/>
          <w:color w:val="000000"/>
          <w:sz w:val="24"/>
          <w:szCs w:val="24"/>
          <w:shd w:val="clear" w:color="auto" w:fill="FFFFFF"/>
          <w:lang w:val="en-GB" w:eastAsia="de-DE"/>
        </w:rPr>
        <w:t xml:space="preserve"> This</w:t>
      </w:r>
      <w:r w:rsidR="00DA255B">
        <w:rPr>
          <w:rFonts w:ascii="Times New Roman" w:eastAsia="Times New Roman" w:hAnsi="Times New Roman" w:cs="Times New Roman"/>
          <w:color w:val="000000"/>
          <w:sz w:val="24"/>
          <w:szCs w:val="24"/>
          <w:shd w:val="clear" w:color="auto" w:fill="FFFFFF"/>
          <w:lang w:val="en-GB" w:eastAsia="de-DE"/>
        </w:rPr>
        <w:t xml:space="preserve"> semantic interchangeability confirms the conceptual connections between the consumer and the investor identified in Section II.</w:t>
      </w:r>
    </w:p>
    <w:p w14:paraId="206196E0" w14:textId="68B5C878" w:rsidR="006F7614" w:rsidRDefault="006F7614" w:rsidP="00202E42">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Consumer policy is concerned not only with the microeconomic market rationale, but also with the macro rationale. In fact, in several occasions the Commission has remarked that consumers</w:t>
      </w:r>
      <w:r w:rsidR="00F4298A">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choices play a key role in fostering innovation and the growth of a sustainable economy.</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78"/>
      </w:r>
      <w:r>
        <w:rPr>
          <w:rFonts w:ascii="Times New Roman" w:eastAsia="Times New Roman" w:hAnsi="Times New Roman" w:cs="Times New Roman"/>
          <w:color w:val="000000"/>
          <w:sz w:val="24"/>
          <w:szCs w:val="24"/>
          <w:shd w:val="clear" w:color="auto" w:fill="FFFFFF"/>
          <w:lang w:val="en-GB" w:eastAsia="de-DE"/>
        </w:rPr>
        <w:t xml:space="preserve"> The </w:t>
      </w:r>
      <w:r>
        <w:rPr>
          <w:rFonts w:ascii="Times New Roman" w:eastAsia="Times New Roman" w:hAnsi="Times New Roman" w:cs="Times New Roman"/>
          <w:color w:val="000000"/>
          <w:sz w:val="24"/>
          <w:szCs w:val="24"/>
          <w:shd w:val="clear" w:color="auto" w:fill="FFFFFF"/>
          <w:lang w:val="en-GB" w:eastAsia="de-DE"/>
        </w:rPr>
        <w:lastRenderedPageBreak/>
        <w:t xml:space="preserve">Commission in 2005 has </w:t>
      </w:r>
      <w:r w:rsidR="009563ED">
        <w:rPr>
          <w:rFonts w:ascii="Times New Roman" w:eastAsia="Times New Roman" w:hAnsi="Times New Roman" w:cs="Times New Roman"/>
          <w:color w:val="000000"/>
          <w:sz w:val="24"/>
          <w:szCs w:val="24"/>
          <w:shd w:val="clear" w:color="auto" w:fill="FFFFFF"/>
          <w:lang w:val="en-GB" w:eastAsia="de-DE"/>
        </w:rPr>
        <w:t xml:space="preserve">even </w:t>
      </w:r>
      <w:r>
        <w:rPr>
          <w:rFonts w:ascii="Times New Roman" w:eastAsia="Times New Roman" w:hAnsi="Times New Roman" w:cs="Times New Roman"/>
          <w:color w:val="000000"/>
          <w:sz w:val="24"/>
          <w:szCs w:val="24"/>
          <w:shd w:val="clear" w:color="auto" w:fill="FFFFFF"/>
          <w:lang w:val="en-GB" w:eastAsia="de-DE"/>
        </w:rPr>
        <w:t>observed that also health protection is important as health contributes to productivity and growth.</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79"/>
      </w:r>
    </w:p>
    <w:p w14:paraId="389719E2" w14:textId="66615AD1" w:rsidR="00F80BB9" w:rsidRDefault="00F77EDE" w:rsidP="00202E42">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b) </w:t>
      </w:r>
      <w:r w:rsidR="000A3DFE">
        <w:rPr>
          <w:rFonts w:ascii="Times New Roman" w:eastAsia="Times New Roman" w:hAnsi="Times New Roman" w:cs="Times New Roman"/>
          <w:color w:val="000000"/>
          <w:sz w:val="24"/>
          <w:szCs w:val="24"/>
          <w:shd w:val="clear" w:color="auto" w:fill="FFFFFF"/>
          <w:lang w:val="en-GB" w:eastAsia="de-DE"/>
        </w:rPr>
        <w:t xml:space="preserve">In corporate governance policy, </w:t>
      </w:r>
      <w:r w:rsidR="00F80BB9">
        <w:rPr>
          <w:rFonts w:ascii="Times New Roman" w:eastAsia="Times New Roman" w:hAnsi="Times New Roman" w:cs="Times New Roman"/>
          <w:color w:val="000000"/>
          <w:sz w:val="24"/>
          <w:szCs w:val="24"/>
          <w:shd w:val="clear" w:color="auto" w:fill="FFFFFF"/>
          <w:lang w:val="en-GB" w:eastAsia="de-DE"/>
        </w:rPr>
        <w:t xml:space="preserve">the property conception of the company finds explicit grounds in EU documents. For example, in Recital (3) of the Shareholders Rights Directive, it is observed that shareholders have paid for </w:t>
      </w:r>
      <w:r w:rsidR="009563ED">
        <w:rPr>
          <w:rFonts w:ascii="Times New Roman" w:eastAsia="Times New Roman" w:hAnsi="Times New Roman" w:cs="Times New Roman"/>
          <w:color w:val="000000"/>
          <w:sz w:val="24"/>
          <w:szCs w:val="24"/>
          <w:shd w:val="clear" w:color="auto" w:fill="FFFFFF"/>
          <w:lang w:val="en-GB" w:eastAsia="de-DE"/>
        </w:rPr>
        <w:t>their voting</w:t>
      </w:r>
      <w:r w:rsidR="00F80BB9">
        <w:rPr>
          <w:rFonts w:ascii="Times New Roman" w:eastAsia="Times New Roman" w:hAnsi="Times New Roman" w:cs="Times New Roman"/>
          <w:color w:val="000000"/>
          <w:sz w:val="24"/>
          <w:szCs w:val="24"/>
          <w:shd w:val="clear" w:color="auto" w:fill="FFFFFF"/>
          <w:lang w:val="en-GB" w:eastAsia="de-DE"/>
        </w:rPr>
        <w:t xml:space="preserve"> rights and should be therefore put in the condition of exercising them. Even stronger is the position taken by the Commission in the 2003 Action Plan: </w:t>
      </w:r>
      <w:r w:rsidR="0088614D">
        <w:rPr>
          <w:rFonts w:ascii="Times New Roman" w:eastAsia="Times New Roman" w:hAnsi="Times New Roman" w:cs="Times New Roman"/>
          <w:color w:val="000000"/>
          <w:sz w:val="24"/>
          <w:szCs w:val="24"/>
          <w:shd w:val="clear" w:color="auto" w:fill="FFFFFF"/>
          <w:lang w:val="en-GB" w:eastAsia="de-DE"/>
        </w:rPr>
        <w:t>“Shareholders own companies, not management – yet too frequently their rights have been trampled on by shoddy, greedy and occasionally fraudulent corporate behaviour. A new sense of proportion and fairness in necessary”</w:t>
      </w:r>
      <w:r w:rsidR="00F80BB9">
        <w:rPr>
          <w:rFonts w:ascii="Times New Roman" w:eastAsia="Times New Roman" w:hAnsi="Times New Roman" w:cs="Times New Roman"/>
          <w:color w:val="000000"/>
          <w:sz w:val="24"/>
          <w:szCs w:val="24"/>
          <w:shd w:val="clear" w:color="auto" w:fill="FFFFFF"/>
          <w:lang w:val="en-GB" w:eastAsia="de-DE"/>
        </w:rPr>
        <w:t>.</w:t>
      </w:r>
      <w:r w:rsidR="0088614D">
        <w:rPr>
          <w:rStyle w:val="Rimandonotaapidipagina"/>
          <w:rFonts w:ascii="Times New Roman" w:eastAsia="Times New Roman" w:hAnsi="Times New Roman" w:cs="Times New Roman"/>
          <w:color w:val="000000"/>
          <w:sz w:val="24"/>
          <w:szCs w:val="24"/>
          <w:shd w:val="clear" w:color="auto" w:fill="FFFFFF"/>
          <w:lang w:val="en-GB" w:eastAsia="de-DE"/>
        </w:rPr>
        <w:footnoteReference w:id="80"/>
      </w:r>
    </w:p>
    <w:p w14:paraId="254DC56C" w14:textId="6B663D3A" w:rsidR="00F77EDE" w:rsidRDefault="0088614D"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With regard to the </w:t>
      </w:r>
      <w:r w:rsidR="000A3DFE">
        <w:rPr>
          <w:rFonts w:ascii="Times New Roman" w:eastAsia="Times New Roman" w:hAnsi="Times New Roman" w:cs="Times New Roman"/>
          <w:color w:val="000000"/>
          <w:sz w:val="24"/>
          <w:szCs w:val="24"/>
          <w:shd w:val="clear" w:color="auto" w:fill="FFFFFF"/>
          <w:lang w:val="en-GB" w:eastAsia="de-DE"/>
        </w:rPr>
        <w:t>model</w:t>
      </w:r>
      <w:r>
        <w:rPr>
          <w:rFonts w:ascii="Times New Roman" w:eastAsia="Times New Roman" w:hAnsi="Times New Roman" w:cs="Times New Roman"/>
          <w:color w:val="000000"/>
          <w:sz w:val="24"/>
          <w:szCs w:val="24"/>
          <w:shd w:val="clear" w:color="auto" w:fill="FFFFFF"/>
          <w:lang w:val="en-GB" w:eastAsia="de-DE"/>
        </w:rPr>
        <w:t>s</w:t>
      </w:r>
      <w:r w:rsidR="000A3DFE">
        <w:rPr>
          <w:rFonts w:ascii="Times New Roman" w:eastAsia="Times New Roman" w:hAnsi="Times New Roman" w:cs="Times New Roman"/>
          <w:color w:val="000000"/>
          <w:sz w:val="24"/>
          <w:szCs w:val="24"/>
          <w:shd w:val="clear" w:color="auto" w:fill="FFFFFF"/>
          <w:lang w:val="en-GB" w:eastAsia="de-DE"/>
        </w:rPr>
        <w:t xml:space="preserve"> of teamwork</w:t>
      </w:r>
      <w:r>
        <w:rPr>
          <w:rFonts w:ascii="Times New Roman" w:eastAsia="Times New Roman" w:hAnsi="Times New Roman" w:cs="Times New Roman"/>
          <w:color w:val="000000"/>
          <w:sz w:val="24"/>
          <w:szCs w:val="24"/>
          <w:shd w:val="clear" w:color="auto" w:fill="FFFFFF"/>
          <w:lang w:val="en-GB" w:eastAsia="de-DE"/>
        </w:rPr>
        <w:t>, the preferred one</w:t>
      </w:r>
      <w:r w:rsidR="000A3DFE">
        <w:rPr>
          <w:rFonts w:ascii="Times New Roman" w:eastAsia="Times New Roman" w:hAnsi="Times New Roman" w:cs="Times New Roman"/>
          <w:color w:val="000000"/>
          <w:sz w:val="24"/>
          <w:szCs w:val="24"/>
          <w:shd w:val="clear" w:color="auto" w:fill="FFFFFF"/>
          <w:lang w:val="en-GB" w:eastAsia="de-DE"/>
        </w:rPr>
        <w:t xml:space="preserve"> is currently based </w:t>
      </w:r>
      <w:r w:rsidR="00F80BB9">
        <w:rPr>
          <w:rFonts w:ascii="Times New Roman" w:eastAsia="Times New Roman" w:hAnsi="Times New Roman" w:cs="Times New Roman"/>
          <w:color w:val="000000"/>
          <w:sz w:val="24"/>
          <w:szCs w:val="24"/>
          <w:shd w:val="clear" w:color="auto" w:fill="FFFFFF"/>
          <w:lang w:val="en-GB" w:eastAsia="de-DE"/>
        </w:rPr>
        <w:t>primarily</w:t>
      </w:r>
      <w:r w:rsidR="000A3DFE">
        <w:rPr>
          <w:rFonts w:ascii="Times New Roman" w:eastAsia="Times New Roman" w:hAnsi="Times New Roman" w:cs="Times New Roman"/>
          <w:color w:val="000000"/>
          <w:sz w:val="24"/>
          <w:szCs w:val="24"/>
          <w:shd w:val="clear" w:color="auto" w:fill="FFFFFF"/>
          <w:lang w:val="en-GB" w:eastAsia="de-DE"/>
        </w:rPr>
        <w:t xml:space="preserve"> on shareholders empowerment. Empowerment relates mainly to ensuring an effective </w:t>
      </w:r>
      <w:r w:rsidR="009563ED">
        <w:rPr>
          <w:rFonts w:ascii="Times New Roman" w:eastAsia="Times New Roman" w:hAnsi="Times New Roman" w:cs="Times New Roman"/>
          <w:color w:val="000000"/>
          <w:sz w:val="24"/>
          <w:szCs w:val="24"/>
          <w:shd w:val="clear" w:color="auto" w:fill="FFFFFF"/>
          <w:lang w:val="en-GB" w:eastAsia="de-DE"/>
        </w:rPr>
        <w:t xml:space="preserve">and informed </w:t>
      </w:r>
      <w:r w:rsidR="000A3DFE">
        <w:rPr>
          <w:rFonts w:ascii="Times New Roman" w:eastAsia="Times New Roman" w:hAnsi="Times New Roman" w:cs="Times New Roman"/>
          <w:color w:val="000000"/>
          <w:sz w:val="24"/>
          <w:szCs w:val="24"/>
          <w:shd w:val="clear" w:color="auto" w:fill="FFFFFF"/>
          <w:lang w:val="en-GB" w:eastAsia="de-DE"/>
        </w:rPr>
        <w:t>exercise of voting rights.</w:t>
      </w:r>
      <w:r w:rsidR="000A3DFE">
        <w:rPr>
          <w:rStyle w:val="Rimandonotaapidipagina"/>
          <w:rFonts w:ascii="Times New Roman" w:eastAsia="Times New Roman" w:hAnsi="Times New Roman" w:cs="Times New Roman"/>
          <w:color w:val="000000"/>
          <w:sz w:val="24"/>
          <w:szCs w:val="24"/>
          <w:shd w:val="clear" w:color="auto" w:fill="FFFFFF"/>
          <w:lang w:val="en-GB" w:eastAsia="de-DE"/>
        </w:rPr>
        <w:footnoteReference w:id="81"/>
      </w:r>
      <w:r w:rsidR="000A3DFE">
        <w:rPr>
          <w:rFonts w:ascii="Times New Roman" w:eastAsia="Times New Roman" w:hAnsi="Times New Roman" w:cs="Times New Roman"/>
          <w:color w:val="000000"/>
          <w:sz w:val="24"/>
          <w:szCs w:val="24"/>
          <w:shd w:val="clear" w:color="auto" w:fill="FFFFFF"/>
          <w:lang w:val="en-GB" w:eastAsia="de-DE"/>
        </w:rPr>
        <w:t xml:space="preserve"> However, in the draft of </w:t>
      </w:r>
      <w:r w:rsidR="00880814">
        <w:rPr>
          <w:rFonts w:ascii="Times New Roman" w:eastAsia="Times New Roman" w:hAnsi="Times New Roman" w:cs="Times New Roman"/>
          <w:color w:val="000000"/>
          <w:sz w:val="24"/>
          <w:szCs w:val="24"/>
          <w:shd w:val="clear" w:color="auto" w:fill="FFFFFF"/>
          <w:lang w:val="en-GB" w:eastAsia="de-DE"/>
        </w:rPr>
        <w:t xml:space="preserve">the </w:t>
      </w:r>
      <w:r w:rsidR="000A3DFE">
        <w:rPr>
          <w:rFonts w:ascii="Times New Roman" w:eastAsia="Times New Roman" w:hAnsi="Times New Roman" w:cs="Times New Roman"/>
          <w:color w:val="000000"/>
          <w:sz w:val="24"/>
          <w:szCs w:val="24"/>
          <w:shd w:val="clear" w:color="auto" w:fill="FFFFFF"/>
          <w:lang w:val="en-GB" w:eastAsia="de-DE"/>
        </w:rPr>
        <w:t>revision</w:t>
      </w:r>
      <w:r w:rsidR="00880814">
        <w:rPr>
          <w:rFonts w:ascii="Times New Roman" w:eastAsia="Times New Roman" w:hAnsi="Times New Roman" w:cs="Times New Roman"/>
          <w:color w:val="000000"/>
          <w:sz w:val="24"/>
          <w:szCs w:val="24"/>
          <w:shd w:val="clear" w:color="auto" w:fill="FFFFFF"/>
          <w:lang w:val="en-GB" w:eastAsia="de-DE"/>
        </w:rPr>
        <w:t xml:space="preserve"> of the Shareholders Right</w:t>
      </w:r>
      <w:r w:rsidR="008906D8">
        <w:rPr>
          <w:rFonts w:ascii="Times New Roman" w:eastAsia="Times New Roman" w:hAnsi="Times New Roman" w:cs="Times New Roman"/>
          <w:color w:val="000000"/>
          <w:sz w:val="24"/>
          <w:szCs w:val="24"/>
          <w:shd w:val="clear" w:color="auto" w:fill="FFFFFF"/>
          <w:lang w:val="en-GB" w:eastAsia="de-DE"/>
        </w:rPr>
        <w:t>s</w:t>
      </w:r>
      <w:r w:rsidR="00880814">
        <w:rPr>
          <w:rFonts w:ascii="Times New Roman" w:eastAsia="Times New Roman" w:hAnsi="Times New Roman" w:cs="Times New Roman"/>
          <w:color w:val="000000"/>
          <w:sz w:val="24"/>
          <w:szCs w:val="24"/>
          <w:shd w:val="clear" w:color="auto" w:fill="FFFFFF"/>
          <w:lang w:val="en-GB" w:eastAsia="de-DE"/>
        </w:rPr>
        <w:t xml:space="preserve"> Directive</w:t>
      </w:r>
      <w:r w:rsidR="000A3DFE">
        <w:rPr>
          <w:rFonts w:ascii="Times New Roman" w:eastAsia="Times New Roman" w:hAnsi="Times New Roman" w:cs="Times New Roman"/>
          <w:color w:val="000000"/>
          <w:sz w:val="24"/>
          <w:szCs w:val="24"/>
          <w:shd w:val="clear" w:color="auto" w:fill="FFFFFF"/>
          <w:lang w:val="en-GB" w:eastAsia="de-DE"/>
        </w:rPr>
        <w:t>, it is possible to see a move towards an enhanced level of protection with regard to directors remuneration and related parties transaction.</w:t>
      </w:r>
      <w:r w:rsidR="000A3DFE">
        <w:rPr>
          <w:rStyle w:val="Rimandonotaapidipagina"/>
          <w:rFonts w:ascii="Times New Roman" w:eastAsia="Times New Roman" w:hAnsi="Times New Roman" w:cs="Times New Roman"/>
          <w:color w:val="000000"/>
          <w:sz w:val="24"/>
          <w:szCs w:val="24"/>
          <w:shd w:val="clear" w:color="auto" w:fill="FFFFFF"/>
          <w:lang w:val="en-GB" w:eastAsia="de-DE"/>
        </w:rPr>
        <w:footnoteReference w:id="82"/>
      </w:r>
      <w:r w:rsidR="000A3DFE">
        <w:rPr>
          <w:rFonts w:ascii="Times New Roman" w:eastAsia="Times New Roman" w:hAnsi="Times New Roman" w:cs="Times New Roman"/>
          <w:color w:val="000000"/>
          <w:sz w:val="24"/>
          <w:szCs w:val="24"/>
          <w:shd w:val="clear" w:color="auto" w:fill="FFFFFF"/>
          <w:lang w:val="en-GB" w:eastAsia="de-DE"/>
        </w:rPr>
        <w:t xml:space="preserve"> </w:t>
      </w:r>
      <w:r w:rsidR="00F80BB9">
        <w:rPr>
          <w:rFonts w:ascii="Times New Roman" w:eastAsia="Times New Roman" w:hAnsi="Times New Roman" w:cs="Times New Roman"/>
          <w:color w:val="000000"/>
          <w:sz w:val="24"/>
          <w:szCs w:val="24"/>
          <w:shd w:val="clear" w:color="auto" w:fill="FFFFFF"/>
          <w:lang w:val="en-GB" w:eastAsia="de-DE"/>
        </w:rPr>
        <w:t>In the Takeover Bids Directive, the role of protection is even stronger. Takeovers are a very peculiar moment in the life of a company. It is therefore interesting to look at its regulation in detail with the lenses of the princip</w:t>
      </w:r>
      <w:r w:rsidR="0033325C">
        <w:rPr>
          <w:rFonts w:ascii="Times New Roman" w:eastAsia="Times New Roman" w:hAnsi="Times New Roman" w:cs="Times New Roman"/>
          <w:color w:val="000000"/>
          <w:sz w:val="24"/>
          <w:szCs w:val="24"/>
          <w:shd w:val="clear" w:color="auto" w:fill="FFFFFF"/>
          <w:lang w:val="en-GB" w:eastAsia="de-DE"/>
        </w:rPr>
        <w:t>al multi agent framework. First</w:t>
      </w:r>
      <w:r w:rsidR="00F80BB9">
        <w:rPr>
          <w:rFonts w:ascii="Times New Roman" w:eastAsia="Times New Roman" w:hAnsi="Times New Roman" w:cs="Times New Roman"/>
          <w:color w:val="000000"/>
          <w:sz w:val="24"/>
          <w:szCs w:val="24"/>
          <w:shd w:val="clear" w:color="auto" w:fill="FFFFFF"/>
          <w:lang w:val="en-GB" w:eastAsia="de-DE"/>
        </w:rPr>
        <w:t xml:space="preserve"> of all, managers are looked at with great suspicion. This makes sense, as it is likely that a successful takeover implies a restructure of the management. Art. 9 limits greatly their decision making power without the authorization of shareholders to normal course of business as long as these operations do not frustrate the bid. Nonetheless, they can search alternative bidders on the market. They also have a duty to evaluate the offer for the shareholders, considering also the impact on occupation (Art. 10). Here we clearly see a case in which non-allocative concerns are taken into account by the legal system. </w:t>
      </w:r>
      <w:r w:rsidR="0033325C">
        <w:rPr>
          <w:rFonts w:ascii="Times New Roman" w:eastAsia="Times New Roman" w:hAnsi="Times New Roman" w:cs="Times New Roman"/>
          <w:color w:val="000000"/>
          <w:sz w:val="24"/>
          <w:szCs w:val="24"/>
          <w:shd w:val="clear" w:color="auto" w:fill="FFFFFF"/>
          <w:lang w:val="en-GB" w:eastAsia="de-DE"/>
        </w:rPr>
        <w:t>Second, i</w:t>
      </w:r>
      <w:r w:rsidR="00F80BB9">
        <w:rPr>
          <w:rFonts w:ascii="Times New Roman" w:eastAsia="Times New Roman" w:hAnsi="Times New Roman" w:cs="Times New Roman"/>
          <w:color w:val="000000"/>
          <w:sz w:val="24"/>
          <w:szCs w:val="24"/>
          <w:shd w:val="clear" w:color="auto" w:fill="FFFFFF"/>
          <w:lang w:val="en-GB" w:eastAsia="de-DE"/>
        </w:rPr>
        <w:t xml:space="preserve">n order to ensure an informed decision by shareholders, information duties and the bidding offer are intensively regulated. </w:t>
      </w:r>
      <w:r w:rsidR="0033325C">
        <w:rPr>
          <w:rFonts w:ascii="Times New Roman" w:eastAsia="Times New Roman" w:hAnsi="Times New Roman" w:cs="Times New Roman"/>
          <w:color w:val="000000"/>
          <w:sz w:val="24"/>
          <w:szCs w:val="24"/>
          <w:shd w:val="clear" w:color="auto" w:fill="FFFFFF"/>
          <w:lang w:val="en-GB" w:eastAsia="de-DE"/>
        </w:rPr>
        <w:t xml:space="preserve">The directive clearly shows a concern for the protection of shareholders. </w:t>
      </w:r>
      <w:r w:rsidR="00F80BB9">
        <w:rPr>
          <w:rFonts w:ascii="Times New Roman" w:eastAsia="Times New Roman" w:hAnsi="Times New Roman" w:cs="Times New Roman"/>
          <w:color w:val="000000"/>
          <w:sz w:val="24"/>
          <w:szCs w:val="24"/>
          <w:shd w:val="clear" w:color="auto" w:fill="FFFFFF"/>
          <w:lang w:val="en-GB" w:eastAsia="de-DE"/>
        </w:rPr>
        <w:t>In particular, shareholders become agents of each other</w:t>
      </w:r>
      <w:r w:rsidR="0033325C">
        <w:rPr>
          <w:rFonts w:ascii="Times New Roman" w:eastAsia="Times New Roman" w:hAnsi="Times New Roman" w:cs="Times New Roman"/>
          <w:color w:val="000000"/>
          <w:sz w:val="24"/>
          <w:szCs w:val="24"/>
          <w:shd w:val="clear" w:color="auto" w:fill="FFFFFF"/>
          <w:lang w:val="en-GB" w:eastAsia="de-DE"/>
        </w:rPr>
        <w:t xml:space="preserve">. More specifically, we see an enhanced version of the competition for </w:t>
      </w:r>
      <w:r w:rsidR="009563ED">
        <w:rPr>
          <w:rFonts w:ascii="Times New Roman" w:eastAsia="Times New Roman" w:hAnsi="Times New Roman" w:cs="Times New Roman"/>
          <w:color w:val="000000"/>
          <w:sz w:val="24"/>
          <w:szCs w:val="24"/>
          <w:shd w:val="clear" w:color="auto" w:fill="FFFFFF"/>
          <w:lang w:val="en-GB" w:eastAsia="de-DE"/>
        </w:rPr>
        <w:t>active</w:t>
      </w:r>
      <w:r w:rsidR="0033325C">
        <w:rPr>
          <w:rFonts w:ascii="Times New Roman" w:eastAsia="Times New Roman" w:hAnsi="Times New Roman" w:cs="Times New Roman"/>
          <w:color w:val="000000"/>
          <w:sz w:val="24"/>
          <w:szCs w:val="24"/>
          <w:shd w:val="clear" w:color="auto" w:fill="FFFFFF"/>
          <w:lang w:val="en-GB" w:eastAsia="de-DE"/>
        </w:rPr>
        <w:t xml:space="preserve"> consumers type of teamwork</w:t>
      </w:r>
      <w:r w:rsidR="00F80BB9">
        <w:rPr>
          <w:rFonts w:ascii="Times New Roman" w:eastAsia="Times New Roman" w:hAnsi="Times New Roman" w:cs="Times New Roman"/>
          <w:color w:val="000000"/>
          <w:sz w:val="24"/>
          <w:szCs w:val="24"/>
          <w:shd w:val="clear" w:color="auto" w:fill="FFFFFF"/>
          <w:lang w:val="en-GB" w:eastAsia="de-DE"/>
        </w:rPr>
        <w:t xml:space="preserve">: the highest price paid to one </w:t>
      </w:r>
      <w:r w:rsidR="0033325C">
        <w:rPr>
          <w:rFonts w:ascii="Times New Roman" w:eastAsia="Times New Roman" w:hAnsi="Times New Roman" w:cs="Times New Roman"/>
          <w:color w:val="000000"/>
          <w:sz w:val="24"/>
          <w:szCs w:val="24"/>
          <w:shd w:val="clear" w:color="auto" w:fill="FFFFFF"/>
          <w:lang w:val="en-GB" w:eastAsia="de-DE"/>
        </w:rPr>
        <w:t xml:space="preserve">shareholder </w:t>
      </w:r>
      <w:r w:rsidR="00F80BB9">
        <w:rPr>
          <w:rFonts w:ascii="Times New Roman" w:eastAsia="Times New Roman" w:hAnsi="Times New Roman" w:cs="Times New Roman"/>
          <w:color w:val="000000"/>
          <w:sz w:val="24"/>
          <w:szCs w:val="24"/>
          <w:shd w:val="clear" w:color="auto" w:fill="FFFFFF"/>
          <w:lang w:val="en-GB" w:eastAsia="de-DE"/>
        </w:rPr>
        <w:t xml:space="preserve">prior to the bid (no less than six months and no more of twelve months) is the price applicable to all the purchases of shares. This </w:t>
      </w:r>
      <w:r w:rsidR="0033325C">
        <w:rPr>
          <w:rFonts w:ascii="Times New Roman" w:eastAsia="Times New Roman" w:hAnsi="Times New Roman" w:cs="Times New Roman"/>
          <w:color w:val="000000"/>
          <w:sz w:val="24"/>
          <w:szCs w:val="24"/>
          <w:shd w:val="clear" w:color="auto" w:fill="FFFFFF"/>
          <w:lang w:val="en-GB" w:eastAsia="de-DE"/>
        </w:rPr>
        <w:t>approach implies that the shareholder that has sold his shares at the higher price before the bid ensures that the bidder has the duty to offer the same economic condition to each shareholder. However, the mechanism is not inflexible and the legal system can intervene to modify this price under pre-determined conditions.</w:t>
      </w:r>
      <w:r w:rsidR="0045632C">
        <w:rPr>
          <w:rFonts w:ascii="Times New Roman" w:eastAsia="Times New Roman" w:hAnsi="Times New Roman" w:cs="Times New Roman"/>
          <w:color w:val="000000"/>
          <w:sz w:val="24"/>
          <w:szCs w:val="24"/>
          <w:shd w:val="clear" w:color="auto" w:fill="FFFFFF"/>
          <w:lang w:val="en-GB" w:eastAsia="de-DE"/>
        </w:rPr>
        <w:t xml:space="preserve"> For the purposes of our argument, it is interest to note that in corporate governance documents, in some occasions the concept of shareholder is used interchangeably with that of investor.</w:t>
      </w:r>
      <w:r w:rsidR="0045632C">
        <w:rPr>
          <w:rStyle w:val="Rimandonotaapidipagina"/>
          <w:rFonts w:ascii="Times New Roman" w:eastAsia="Times New Roman" w:hAnsi="Times New Roman" w:cs="Times New Roman"/>
          <w:color w:val="000000"/>
          <w:sz w:val="24"/>
          <w:szCs w:val="24"/>
          <w:shd w:val="clear" w:color="auto" w:fill="FFFFFF"/>
          <w:lang w:val="en-GB" w:eastAsia="de-DE"/>
        </w:rPr>
        <w:footnoteReference w:id="83"/>
      </w:r>
      <w:r w:rsidR="0045632C">
        <w:rPr>
          <w:rFonts w:ascii="Times New Roman" w:eastAsia="Times New Roman" w:hAnsi="Times New Roman" w:cs="Times New Roman"/>
          <w:color w:val="000000"/>
          <w:sz w:val="24"/>
          <w:szCs w:val="24"/>
          <w:shd w:val="clear" w:color="auto" w:fill="FFFFFF"/>
          <w:lang w:val="en-GB" w:eastAsia="de-DE"/>
        </w:rPr>
        <w:t xml:space="preserve"> Corporate governance policy is clearly not only about shareholders</w:t>
      </w:r>
      <w:r w:rsidR="00817706">
        <w:rPr>
          <w:rFonts w:ascii="Times New Roman" w:eastAsia="Times New Roman" w:hAnsi="Times New Roman" w:cs="Times New Roman"/>
          <w:color w:val="000000"/>
          <w:sz w:val="24"/>
          <w:szCs w:val="24"/>
          <w:shd w:val="clear" w:color="auto" w:fill="FFFFFF"/>
          <w:lang w:val="en-GB" w:eastAsia="de-DE"/>
        </w:rPr>
        <w:t>’</w:t>
      </w:r>
      <w:r w:rsidR="0045632C">
        <w:rPr>
          <w:rFonts w:ascii="Times New Roman" w:eastAsia="Times New Roman" w:hAnsi="Times New Roman" w:cs="Times New Roman"/>
          <w:color w:val="000000"/>
          <w:sz w:val="24"/>
          <w:szCs w:val="24"/>
          <w:shd w:val="clear" w:color="auto" w:fill="FFFFFF"/>
          <w:lang w:val="en-GB" w:eastAsia="de-DE"/>
        </w:rPr>
        <w:t xml:space="preserve"> interests. As seen, there is a concern for the interest of employees</w:t>
      </w:r>
      <w:r w:rsidR="009563ED">
        <w:rPr>
          <w:rFonts w:ascii="Times New Roman" w:eastAsia="Times New Roman" w:hAnsi="Times New Roman" w:cs="Times New Roman"/>
          <w:color w:val="000000"/>
          <w:sz w:val="24"/>
          <w:szCs w:val="24"/>
          <w:shd w:val="clear" w:color="auto" w:fill="FFFFFF"/>
          <w:lang w:val="en-GB" w:eastAsia="de-DE"/>
        </w:rPr>
        <w:t xml:space="preserve"> and</w:t>
      </w:r>
      <w:r w:rsidR="0045632C">
        <w:rPr>
          <w:rFonts w:ascii="Times New Roman" w:eastAsia="Times New Roman" w:hAnsi="Times New Roman" w:cs="Times New Roman"/>
          <w:color w:val="000000"/>
          <w:sz w:val="24"/>
          <w:szCs w:val="24"/>
          <w:shd w:val="clear" w:color="auto" w:fill="FFFFFF"/>
          <w:lang w:val="en-GB" w:eastAsia="de-DE"/>
        </w:rPr>
        <w:t>, more generally, there is a concern for the systemic effects of corporate governance. The 2011 Green Paper shows, for example, a concern for the detrimental effects over growth of investment strategies focusing too often on short-term investments (</w:t>
      </w:r>
      <w:r w:rsidR="00817706">
        <w:rPr>
          <w:rFonts w:ascii="Times New Roman" w:eastAsia="Times New Roman" w:hAnsi="Times New Roman" w:cs="Times New Roman"/>
          <w:color w:val="000000"/>
          <w:sz w:val="24"/>
          <w:szCs w:val="24"/>
          <w:shd w:val="clear" w:color="auto" w:fill="FFFFFF"/>
          <w:lang w:val="en-GB" w:eastAsia="de-DE"/>
        </w:rPr>
        <w:t>“</w:t>
      </w:r>
      <w:r w:rsidR="0045632C">
        <w:rPr>
          <w:rFonts w:ascii="Times New Roman" w:eastAsia="Times New Roman" w:hAnsi="Times New Roman" w:cs="Times New Roman"/>
          <w:color w:val="000000"/>
          <w:sz w:val="24"/>
          <w:szCs w:val="24"/>
          <w:shd w:val="clear" w:color="auto" w:fill="FFFFFF"/>
          <w:lang w:val="en-GB" w:eastAsia="de-DE"/>
        </w:rPr>
        <w:t>shortermism</w:t>
      </w:r>
      <w:r w:rsidR="00817706">
        <w:rPr>
          <w:rFonts w:ascii="Times New Roman" w:eastAsia="Times New Roman" w:hAnsi="Times New Roman" w:cs="Times New Roman"/>
          <w:color w:val="000000"/>
          <w:sz w:val="24"/>
          <w:szCs w:val="24"/>
          <w:shd w:val="clear" w:color="auto" w:fill="FFFFFF"/>
          <w:lang w:val="en-GB" w:eastAsia="de-DE"/>
        </w:rPr>
        <w:t>”</w:t>
      </w:r>
      <w:r w:rsidR="0045632C">
        <w:rPr>
          <w:rFonts w:ascii="Times New Roman" w:eastAsia="Times New Roman" w:hAnsi="Times New Roman" w:cs="Times New Roman"/>
          <w:color w:val="000000"/>
          <w:sz w:val="24"/>
          <w:szCs w:val="24"/>
          <w:shd w:val="clear" w:color="auto" w:fill="FFFFFF"/>
          <w:lang w:val="en-GB" w:eastAsia="de-DE"/>
        </w:rPr>
        <w:t>).</w:t>
      </w:r>
      <w:r w:rsidR="0045632C">
        <w:rPr>
          <w:rStyle w:val="Rimandonotaapidipagina"/>
          <w:rFonts w:ascii="Times New Roman" w:eastAsia="Times New Roman" w:hAnsi="Times New Roman" w:cs="Times New Roman"/>
          <w:color w:val="000000"/>
          <w:sz w:val="24"/>
          <w:szCs w:val="24"/>
          <w:shd w:val="clear" w:color="auto" w:fill="FFFFFF"/>
          <w:lang w:val="en-GB" w:eastAsia="de-DE"/>
        </w:rPr>
        <w:footnoteReference w:id="84"/>
      </w:r>
      <w:r w:rsidR="0045632C">
        <w:rPr>
          <w:rFonts w:ascii="Times New Roman" w:eastAsia="Times New Roman" w:hAnsi="Times New Roman" w:cs="Times New Roman"/>
          <w:color w:val="000000"/>
          <w:sz w:val="24"/>
          <w:szCs w:val="24"/>
          <w:shd w:val="clear" w:color="auto" w:fill="FFFFFF"/>
          <w:lang w:val="en-GB" w:eastAsia="de-DE"/>
        </w:rPr>
        <w:t xml:space="preserve"> The revision of the Shareholders Rights Directive tries to address this issue.</w:t>
      </w:r>
      <w:r w:rsidR="0045632C">
        <w:rPr>
          <w:rStyle w:val="Rimandonotaapidipagina"/>
          <w:rFonts w:ascii="Times New Roman" w:eastAsia="Times New Roman" w:hAnsi="Times New Roman" w:cs="Times New Roman"/>
          <w:color w:val="000000"/>
          <w:sz w:val="24"/>
          <w:szCs w:val="24"/>
          <w:shd w:val="clear" w:color="auto" w:fill="FFFFFF"/>
          <w:lang w:val="en-GB" w:eastAsia="de-DE"/>
        </w:rPr>
        <w:footnoteReference w:id="85"/>
      </w:r>
    </w:p>
    <w:p w14:paraId="04C2F39C" w14:textId="01125E59" w:rsidR="00817706" w:rsidRPr="00497A81" w:rsidRDefault="00817706" w:rsidP="00202E42">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In conclusion, we have seen that the principal multi agent framework performs quite well in reconstructing the interactions (teamwork) of the legal system (the monitoring agent) with consumer/shareholders and entrepreneurs managers (the two primary agents). The qualification </w:t>
      </w:r>
      <w:r>
        <w:rPr>
          <w:rFonts w:ascii="Times New Roman" w:eastAsia="Times New Roman" w:hAnsi="Times New Roman" w:cs="Times New Roman"/>
          <w:color w:val="000000"/>
          <w:sz w:val="24"/>
          <w:szCs w:val="24"/>
          <w:shd w:val="clear" w:color="auto" w:fill="FFFFFF"/>
          <w:lang w:val="en-GB" w:eastAsia="de-DE"/>
        </w:rPr>
        <w:lastRenderedPageBreak/>
        <w:t xml:space="preserve">of the former categories of primary agent as principal has also explicit grounds. First, consumer policy quite clearly associates </w:t>
      </w:r>
      <w:r w:rsidRPr="008906D8">
        <w:rPr>
          <w:rFonts w:ascii="Times New Roman" w:eastAsia="Times New Roman" w:hAnsi="Times New Roman" w:cs="Times New Roman"/>
          <w:color w:val="000000"/>
          <w:sz w:val="24"/>
          <w:szCs w:val="24"/>
          <w:shd w:val="clear" w:color="auto" w:fill="FFFFFF"/>
          <w:lang w:val="en-GB" w:eastAsia="de-DE"/>
        </w:rPr>
        <w:t xml:space="preserve">consumer empowerment to the autonomy conception of consumer sovereignty and consumer protection to the welfare conception of that concept. As seen, this approach is easily accounted for in a multi agent framework aiming at the conception of allocative efficiency discussed in section </w:t>
      </w:r>
      <w:r w:rsidRPr="00DA09BA">
        <w:rPr>
          <w:rFonts w:ascii="Times New Roman" w:eastAsia="Times New Roman" w:hAnsi="Times New Roman" w:cs="Times New Roman"/>
          <w:color w:val="000000"/>
          <w:sz w:val="24"/>
          <w:szCs w:val="24"/>
          <w:shd w:val="clear" w:color="auto" w:fill="FFFFFF"/>
          <w:lang w:val="en-GB" w:eastAsia="de-DE"/>
        </w:rPr>
        <w:t>II</w:t>
      </w:r>
      <w:r w:rsidRPr="008906D8">
        <w:rPr>
          <w:rFonts w:ascii="Times New Roman" w:eastAsia="Times New Roman" w:hAnsi="Times New Roman" w:cs="Times New Roman"/>
          <w:color w:val="000000"/>
          <w:sz w:val="24"/>
          <w:szCs w:val="24"/>
          <w:shd w:val="clear" w:color="auto" w:fill="FFFFFF"/>
          <w:lang w:val="en-GB" w:eastAsia="de-DE"/>
        </w:rPr>
        <w:t xml:space="preserve">. Second, </w:t>
      </w:r>
      <w:r w:rsidRPr="00DA09BA">
        <w:rPr>
          <w:rFonts w:ascii="Times New Roman" w:eastAsia="Times New Roman" w:hAnsi="Times New Roman" w:cs="Times New Roman"/>
          <w:color w:val="000000"/>
          <w:sz w:val="24"/>
          <w:szCs w:val="24"/>
          <w:shd w:val="clear" w:color="auto" w:fill="FFFFFF"/>
          <w:lang w:val="en-GB" w:eastAsia="de-DE"/>
        </w:rPr>
        <w:t>the property conception of the corporation</w:t>
      </w:r>
      <w:r w:rsidRPr="008906D8">
        <w:rPr>
          <w:rFonts w:ascii="Times New Roman" w:eastAsia="Times New Roman" w:hAnsi="Times New Roman" w:cs="Times New Roman"/>
          <w:color w:val="000000"/>
          <w:sz w:val="24"/>
          <w:szCs w:val="24"/>
          <w:shd w:val="clear" w:color="auto" w:fill="FFFFFF"/>
          <w:lang w:val="en-GB" w:eastAsia="de-DE"/>
        </w:rPr>
        <w:t xml:space="preserve"> – which, as seen in section </w:t>
      </w:r>
      <w:r w:rsidRPr="00DA09BA">
        <w:rPr>
          <w:rFonts w:ascii="Times New Roman" w:eastAsia="Times New Roman" w:hAnsi="Times New Roman" w:cs="Times New Roman"/>
          <w:color w:val="000000"/>
          <w:sz w:val="24"/>
          <w:szCs w:val="24"/>
          <w:shd w:val="clear" w:color="auto" w:fill="FFFFFF"/>
          <w:lang w:val="en-GB" w:eastAsia="de-DE"/>
        </w:rPr>
        <w:t>II.</w:t>
      </w:r>
      <w:r w:rsidRPr="008906D8">
        <w:rPr>
          <w:rFonts w:ascii="Times New Roman" w:eastAsia="Times New Roman" w:hAnsi="Times New Roman" w:cs="Times New Roman"/>
          <w:color w:val="000000"/>
          <w:sz w:val="24"/>
          <w:szCs w:val="24"/>
          <w:shd w:val="clear" w:color="auto" w:fill="FFFFFF"/>
          <w:lang w:val="en-GB" w:eastAsia="de-DE"/>
        </w:rPr>
        <w:t>, is the normative foundation of the principal conception of shareholder and investors more generally – is explicitly referred to in the EU legal discourse. We have also seen that consumers</w:t>
      </w:r>
      <w:r>
        <w:rPr>
          <w:rFonts w:ascii="Times New Roman" w:eastAsia="Times New Roman" w:hAnsi="Times New Roman" w:cs="Times New Roman"/>
          <w:color w:val="000000"/>
          <w:sz w:val="24"/>
          <w:szCs w:val="24"/>
          <w:shd w:val="clear" w:color="auto" w:fill="FFFFFF"/>
          <w:lang w:val="en-GB" w:eastAsia="de-DE"/>
        </w:rPr>
        <w:t xml:space="preserve"> and shareholders interests are not all that matters. However, we have never claimed that they are.</w:t>
      </w:r>
      <w:r w:rsidR="00DE02D8">
        <w:rPr>
          <w:rFonts w:ascii="Times New Roman" w:eastAsia="Times New Roman" w:hAnsi="Times New Roman" w:cs="Times New Roman"/>
          <w:color w:val="000000"/>
          <w:sz w:val="24"/>
          <w:szCs w:val="24"/>
          <w:shd w:val="clear" w:color="auto" w:fill="FFFFFF"/>
          <w:lang w:val="en-GB" w:eastAsia="de-DE"/>
        </w:rPr>
        <w:t xml:space="preserve"> Finally, in both EU policies we have seen a tendency to conflate, in turn, the concept of consumer and that of shareholder, with the concept of investor. It is on these bases that we now turn to discuss in more detail the </w:t>
      </w:r>
      <w:r w:rsidR="00532DE8">
        <w:rPr>
          <w:rFonts w:ascii="Times New Roman" w:eastAsia="Times New Roman" w:hAnsi="Times New Roman" w:cs="Times New Roman"/>
          <w:color w:val="000000"/>
          <w:sz w:val="24"/>
          <w:szCs w:val="24"/>
          <w:shd w:val="clear" w:color="auto" w:fill="FFFFFF"/>
          <w:lang w:val="en-GB" w:eastAsia="de-DE"/>
        </w:rPr>
        <w:t>content of MiFID II, CCD, and MCD.</w:t>
      </w:r>
    </w:p>
    <w:p w14:paraId="13A7C7E2" w14:textId="77777777" w:rsidR="00202E42" w:rsidRDefault="00202E42" w:rsidP="003B7D33">
      <w:pPr>
        <w:tabs>
          <w:tab w:val="left" w:pos="1672"/>
        </w:tabs>
        <w:spacing w:after="0"/>
        <w:rPr>
          <w:rFonts w:ascii="Times New Roman" w:hAnsi="Times New Roman" w:cs="Times New Roman"/>
          <w:sz w:val="24"/>
          <w:szCs w:val="24"/>
          <w:lang w:val="en-GB"/>
        </w:rPr>
      </w:pPr>
    </w:p>
    <w:p w14:paraId="4C47D314" w14:textId="77777777" w:rsidR="003B7D33" w:rsidRPr="00497A81" w:rsidRDefault="003B7D33" w:rsidP="00DA09BA">
      <w:pPr>
        <w:tabs>
          <w:tab w:val="left" w:pos="1672"/>
        </w:tabs>
        <w:spacing w:after="0"/>
        <w:rPr>
          <w:rFonts w:ascii="Times New Roman" w:hAnsi="Times New Roman" w:cs="Times New Roman"/>
          <w:sz w:val="24"/>
          <w:szCs w:val="24"/>
          <w:lang w:val="en-GB"/>
        </w:rPr>
      </w:pPr>
    </w:p>
    <w:p w14:paraId="4B285FC0" w14:textId="77777777" w:rsidR="00DA09BA" w:rsidRPr="00497A81"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497A81">
        <w:rPr>
          <w:rFonts w:ascii="Times New Roman" w:eastAsia="Times New Roman" w:hAnsi="Times New Roman" w:cs="Times New Roman"/>
          <w:b/>
          <w:color w:val="000000"/>
          <w:sz w:val="24"/>
          <w:szCs w:val="24"/>
          <w:shd w:val="clear" w:color="auto" w:fill="FFFFFF"/>
          <w:lang w:val="en-GB" w:eastAsia="de-DE"/>
        </w:rPr>
        <w:t xml:space="preserve">IV. MiFID II and </w:t>
      </w:r>
      <w:r>
        <w:rPr>
          <w:rFonts w:ascii="Times New Roman" w:eastAsia="Times New Roman" w:hAnsi="Times New Roman" w:cs="Times New Roman"/>
          <w:b/>
          <w:color w:val="000000"/>
          <w:sz w:val="24"/>
          <w:szCs w:val="24"/>
          <w:shd w:val="clear" w:color="auto" w:fill="FFFFFF"/>
          <w:lang w:val="en-GB" w:eastAsia="de-DE"/>
        </w:rPr>
        <w:t>the Client Relationship as Fiduciary Relationship: the</w:t>
      </w:r>
      <w:r w:rsidRPr="00497A81">
        <w:rPr>
          <w:rFonts w:ascii="Times New Roman" w:eastAsia="Times New Roman" w:hAnsi="Times New Roman" w:cs="Times New Roman"/>
          <w:b/>
          <w:color w:val="000000"/>
          <w:sz w:val="24"/>
          <w:szCs w:val="24"/>
          <w:shd w:val="clear" w:color="auto" w:fill="FFFFFF"/>
          <w:lang w:val="en-GB" w:eastAsia="de-DE"/>
        </w:rPr>
        <w:t xml:space="preserve"> New Disclosure and Know Your Customer Regime</w:t>
      </w:r>
    </w:p>
    <w:p w14:paraId="66EE14E0" w14:textId="77777777" w:rsidR="00DA09BA" w:rsidRPr="00497A81"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56A3C431" w14:textId="77777777" w:rsidR="00DA09BA" w:rsidRPr="008E59E8"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8E59E8">
        <w:rPr>
          <w:rFonts w:ascii="Times New Roman" w:eastAsia="Times New Roman" w:hAnsi="Times New Roman" w:cs="Times New Roman"/>
          <w:b/>
          <w:color w:val="000000"/>
          <w:sz w:val="24"/>
          <w:szCs w:val="24"/>
          <w:shd w:val="clear" w:color="auto" w:fill="FFFFFF"/>
          <w:lang w:val="en-GB" w:eastAsia="de-DE"/>
        </w:rPr>
        <w:t>1. The Models of Explanation of Fiduciary Relationship</w:t>
      </w:r>
    </w:p>
    <w:p w14:paraId="63AA7E70"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1EC18B72" w14:textId="59450D9F" w:rsidR="00DA09BA" w:rsidRDefault="00DA09BA"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We start out with the discussion of MiFID II as our first example. There are three reasons for doing so and one requires splitting up this first example into two sections: The first reason is that MiFID II is the most recent reform piece in the direct client relationship in the whole wave of reforms of financial services contract law in the wake of the financial crisis.</w:t>
      </w:r>
      <w:r>
        <w:rPr>
          <w:rStyle w:val="Rimandonotaapidipagina"/>
          <w:szCs w:val="24"/>
          <w:lang w:val="en-US"/>
        </w:rPr>
        <w:footnoteReference w:id="86"/>
      </w:r>
      <w:r>
        <w:rPr>
          <w:rFonts w:ascii="Times New Roman" w:eastAsia="Times New Roman" w:hAnsi="Times New Roman" w:cs="Times New Roman"/>
          <w:color w:val="000000"/>
          <w:sz w:val="24"/>
          <w:szCs w:val="24"/>
          <w:shd w:val="clear" w:color="auto" w:fill="FFFFFF"/>
          <w:lang w:val="en-US" w:eastAsia="de-DE"/>
        </w:rPr>
        <w:t xml:space="preserve"> Thus, the most recent trends are likely to be particularly visible here. The second reason is more substantive:</w:t>
      </w:r>
      <w:r>
        <w:rPr>
          <w:rFonts w:ascii="Times New Roman" w:eastAsia="Times New Roman" w:hAnsi="Times New Roman" w:cs="Times New Roman"/>
          <w:color w:val="000000"/>
          <w:sz w:val="24"/>
          <w:szCs w:val="24"/>
          <w:shd w:val="clear" w:color="auto" w:fill="FFFFFF"/>
          <w:lang w:val="en-GB" w:eastAsia="de-DE"/>
        </w:rPr>
        <w:t xml:space="preserve"> MiFID II – as already its predecessors, the Investment Services Directive of 1993 and MiFID I of 2004 – are probably those directives where the view is largely prevalent and perhaps even unanimous – at least on the legal scholarship side – that the relationship is a fiduciary relationship or – tantamount – a principal agent relationship.</w:t>
      </w:r>
      <w:r w:rsidR="00CE6A10">
        <w:rPr>
          <w:rFonts w:ascii="Times New Roman" w:eastAsia="Times New Roman" w:hAnsi="Times New Roman" w:cs="Times New Roman"/>
          <w:color w:val="000000"/>
          <w:sz w:val="24"/>
          <w:szCs w:val="24"/>
          <w:shd w:val="clear" w:color="auto" w:fill="FFFFFF"/>
          <w:lang w:val="en-GB" w:eastAsia="de-DE"/>
        </w:rPr>
        <w:t xml:space="preserve"> Indeed, according to Art. 24(1), the general aim of “investor protection” is to ensure that financial entrepreneurs “act honestly, fairly and professionally in the best interests of its clients”. </w:t>
      </w:r>
      <w:r>
        <w:rPr>
          <w:rFonts w:ascii="Times New Roman" w:eastAsia="Times New Roman" w:hAnsi="Times New Roman" w:cs="Times New Roman"/>
          <w:color w:val="000000"/>
          <w:sz w:val="24"/>
          <w:szCs w:val="24"/>
          <w:shd w:val="clear" w:color="auto" w:fill="FFFFFF"/>
          <w:lang w:val="en-GB" w:eastAsia="de-DE"/>
        </w:rPr>
        <w:t xml:space="preserve">In the following, this will be explained also on the basis of the economic principal agent theory in the founding pieces. The third reason is that this regime is particularly complex and goes as far as not only stating the basic rule and then specifying details of it – the agent has to take the interest of the principal as sole guide-line for her actions –, but that the mere existence of this prime substantive law rule was not seen to suffice. Rather, a second level set of rules was added which is designed to render compliance more likely – i.e. a set of rules which is not about the allocation of rights </w:t>
      </w:r>
      <w:r w:rsidR="00991376">
        <w:rPr>
          <w:rFonts w:ascii="Times New Roman" w:eastAsia="Times New Roman" w:hAnsi="Times New Roman" w:cs="Times New Roman"/>
          <w:color w:val="000000"/>
          <w:sz w:val="24"/>
          <w:szCs w:val="24"/>
          <w:shd w:val="clear" w:color="auto" w:fill="FFFFFF"/>
          <w:lang w:val="en-GB" w:eastAsia="de-DE"/>
        </w:rPr>
        <w:t xml:space="preserve">and duties </w:t>
      </w:r>
      <w:r>
        <w:rPr>
          <w:rFonts w:ascii="Times New Roman" w:eastAsia="Times New Roman" w:hAnsi="Times New Roman" w:cs="Times New Roman"/>
          <w:color w:val="000000"/>
          <w:sz w:val="24"/>
          <w:szCs w:val="24"/>
          <w:shd w:val="clear" w:color="auto" w:fill="FFFFFF"/>
          <w:lang w:val="en-GB" w:eastAsia="de-DE"/>
        </w:rPr>
        <w:t xml:space="preserve">between the two parties as such, but which is preventive in character (see more in detail below section V. sub 1.). In this sub-section, we will explain the foundations of the substantive rule as such – about the allocation of rights </w:t>
      </w:r>
      <w:r w:rsidR="00DE2038">
        <w:rPr>
          <w:rFonts w:ascii="Times New Roman" w:eastAsia="Times New Roman" w:hAnsi="Times New Roman" w:cs="Times New Roman"/>
          <w:color w:val="000000"/>
          <w:sz w:val="24"/>
          <w:szCs w:val="24"/>
          <w:shd w:val="clear" w:color="auto" w:fill="FFFFFF"/>
          <w:lang w:val="en-GB" w:eastAsia="de-DE"/>
        </w:rPr>
        <w:t xml:space="preserve">and duties </w:t>
      </w:r>
      <w:r>
        <w:rPr>
          <w:rFonts w:ascii="Times New Roman" w:eastAsia="Times New Roman" w:hAnsi="Times New Roman" w:cs="Times New Roman"/>
          <w:color w:val="000000"/>
          <w:sz w:val="24"/>
          <w:szCs w:val="24"/>
          <w:shd w:val="clear" w:color="auto" w:fill="FFFFFF"/>
          <w:lang w:val="en-GB" w:eastAsia="de-DE"/>
        </w:rPr>
        <w:t>between the parties –, namely the theories advanced to explain the rule that the agent has to take the interest of the principal as the sole guide-line for action. Before doing so, it should be specified that all three major sets of theories consist of an amalgam of theoretical approaches taken from both the legal value hierarchy and from economic theory and that it is often difficult really to segregate one part from the other (if at all, such segregation is helpful or even desirable).</w:t>
      </w:r>
    </w:p>
    <w:p w14:paraId="3D9070EB" w14:textId="196351D2" w:rsidR="00DE2038" w:rsidRDefault="00DA09BA"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lastRenderedPageBreak/>
        <w:t xml:space="preserve">The whole set of theories is about justifying the unanimously accepted rule that the agent has to take the interest of the principal as sole guide-line for her actions (see </w:t>
      </w:r>
      <w:r w:rsidR="00087A07">
        <w:rPr>
          <w:rFonts w:ascii="Times New Roman" w:eastAsia="Times New Roman" w:hAnsi="Times New Roman" w:cs="Times New Roman"/>
          <w:color w:val="000000"/>
          <w:sz w:val="24"/>
          <w:szCs w:val="24"/>
          <w:shd w:val="clear" w:color="auto" w:fill="FFFFFF"/>
          <w:lang w:val="en-GB" w:eastAsia="de-DE"/>
        </w:rPr>
        <w:t>Art</w:t>
      </w:r>
      <w:r>
        <w:rPr>
          <w:rFonts w:ascii="Times New Roman" w:eastAsia="Times New Roman" w:hAnsi="Times New Roman" w:cs="Times New Roman"/>
          <w:color w:val="000000"/>
          <w:sz w:val="24"/>
          <w:szCs w:val="24"/>
          <w:shd w:val="clear" w:color="auto" w:fill="FFFFFF"/>
          <w:lang w:val="en-GB" w:eastAsia="de-DE"/>
        </w:rPr>
        <w:t>. 24(1) MiFID II). We will not focus so much on an in depth analysis of the recitals of MiFID II – even though typically recitals of EU Directives can tell a lot about the reasons of regulation. In this case, however, the recitals are too crude and contain too much only wholesale arguments for the inquiry of a solid theoretical background.</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87"/>
      </w:r>
      <w:r w:rsidR="00DE2038">
        <w:rPr>
          <w:rFonts w:ascii="Times New Roman" w:eastAsia="Times New Roman" w:hAnsi="Times New Roman" w:cs="Times New Roman"/>
          <w:color w:val="000000"/>
          <w:sz w:val="24"/>
          <w:szCs w:val="24"/>
          <w:shd w:val="clear" w:color="auto" w:fill="FFFFFF"/>
          <w:lang w:val="en-GB" w:eastAsia="de-DE"/>
        </w:rPr>
        <w:t xml:space="preserve"> What the recitals however show is that beside fostering the ‘best interest of investors’, MiFID II tries to protect also financial stability and the access to capital of small and medium enterprises. However, the emphasis on the interest of protection of investors is overwhelming in the recitals.</w:t>
      </w:r>
    </w:p>
    <w:p w14:paraId="020F5874" w14:textId="364E1376" w:rsidR="00DA09BA" w:rsidRDefault="00531667"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 </w:t>
      </w:r>
      <w:r w:rsidR="00DA09BA">
        <w:rPr>
          <w:rFonts w:ascii="Times New Roman" w:eastAsia="Times New Roman" w:hAnsi="Times New Roman" w:cs="Times New Roman"/>
          <w:color w:val="000000"/>
          <w:sz w:val="24"/>
          <w:szCs w:val="24"/>
          <w:shd w:val="clear" w:color="auto" w:fill="FFFFFF"/>
          <w:lang w:val="en-GB" w:eastAsia="de-DE"/>
        </w:rPr>
        <w:t>The first explanation of the basic fiduciary rule named is about ‘fairness’. The argument runs like this: The client (principal) entrusts a position of influence or information to the investment service provider (agent), and therefore it can be assumed that this entrusted position is handed over with the proviso that it be used only for the benefit of the trustor, i.e. the client.</w:t>
      </w:r>
      <w:r w:rsidR="00DA09BA">
        <w:rPr>
          <w:rStyle w:val="Rimandonotaapidipagina"/>
          <w:szCs w:val="24"/>
        </w:rPr>
        <w:footnoteReference w:id="88"/>
      </w:r>
      <w:r w:rsidR="00DA09BA">
        <w:rPr>
          <w:rFonts w:ascii="Times New Roman" w:eastAsia="Times New Roman" w:hAnsi="Times New Roman" w:cs="Times New Roman"/>
          <w:color w:val="000000"/>
          <w:sz w:val="24"/>
          <w:szCs w:val="24"/>
          <w:shd w:val="clear" w:color="auto" w:fill="FFFFFF"/>
          <w:lang w:val="en-GB" w:eastAsia="de-DE"/>
        </w:rPr>
        <w:t xml:space="preserve"> This version of the argument has later been refined: The argument that the principal’s interest be the sole guide-line is really convincing – as an implied term of the agreement – (only) in all those cases where such use of the position of influence by the service provider is compensated by a fee (for the rendering of the service) </w:t>
      </w:r>
      <w:r w:rsidR="00DA09BA" w:rsidRPr="008E59E8">
        <w:rPr>
          <w:rFonts w:ascii="Times New Roman" w:eastAsia="Times New Roman" w:hAnsi="Times New Roman" w:cs="Times New Roman"/>
          <w:i/>
          <w:color w:val="000000"/>
          <w:sz w:val="24"/>
          <w:szCs w:val="24"/>
          <w:shd w:val="clear" w:color="auto" w:fill="FFFFFF"/>
          <w:lang w:val="en-GB" w:eastAsia="de-DE"/>
        </w:rPr>
        <w:t>and</w:t>
      </w:r>
      <w:r w:rsidR="00DA09BA">
        <w:rPr>
          <w:rFonts w:ascii="Times New Roman" w:eastAsia="Times New Roman" w:hAnsi="Times New Roman" w:cs="Times New Roman"/>
          <w:color w:val="000000"/>
          <w:sz w:val="24"/>
          <w:szCs w:val="24"/>
          <w:shd w:val="clear" w:color="auto" w:fill="FFFFFF"/>
          <w:lang w:val="en-GB" w:eastAsia="de-DE"/>
        </w:rPr>
        <w:t xml:space="preserve"> does not come with an additional cost. In other words: The position of influence or information has not only been entrusted by the client, but has been entrusted ‘for free’ (‘without any compensation’), i.e. in such a way that the service provider does not have other costs for its use than the service as such (which is paid for by fees).</w:t>
      </w:r>
      <w:r w:rsidR="00DA09BA">
        <w:rPr>
          <w:rStyle w:val="Rimandonotaapidipagina"/>
          <w:szCs w:val="24"/>
        </w:rPr>
        <w:footnoteReference w:id="89"/>
      </w:r>
      <w:r w:rsidR="00DA09BA">
        <w:rPr>
          <w:rFonts w:ascii="Times New Roman" w:eastAsia="Times New Roman" w:hAnsi="Times New Roman" w:cs="Times New Roman"/>
          <w:color w:val="000000"/>
          <w:sz w:val="24"/>
          <w:szCs w:val="24"/>
          <w:shd w:val="clear" w:color="auto" w:fill="FFFFFF"/>
          <w:lang w:val="en-GB" w:eastAsia="de-DE"/>
        </w:rPr>
        <w:t xml:space="preserve"> Given that</w:t>
      </w:r>
      <w:r w:rsidR="00087A07">
        <w:rPr>
          <w:rFonts w:ascii="Times New Roman" w:eastAsia="Times New Roman" w:hAnsi="Times New Roman" w:cs="Times New Roman"/>
          <w:color w:val="000000"/>
          <w:sz w:val="24"/>
          <w:szCs w:val="24"/>
          <w:shd w:val="clear" w:color="auto" w:fill="FFFFFF"/>
          <w:lang w:val="en-GB" w:eastAsia="de-DE"/>
        </w:rPr>
        <w:t>,</w:t>
      </w:r>
      <w:r w:rsidR="00DA09BA">
        <w:rPr>
          <w:rFonts w:ascii="Times New Roman" w:eastAsia="Times New Roman" w:hAnsi="Times New Roman" w:cs="Times New Roman"/>
          <w:color w:val="000000"/>
          <w:sz w:val="24"/>
          <w:szCs w:val="24"/>
          <w:shd w:val="clear" w:color="auto" w:fill="FFFFFF"/>
          <w:lang w:val="en-GB" w:eastAsia="de-DE"/>
        </w:rPr>
        <w:t xml:space="preserve"> in such a situation, the service provider has no vested interest (not to be burdened) at all, the implied term cannot really be doubted that the use of the position entrusted should be solely for the benefit of the trustor. </w:t>
      </w:r>
      <w:bookmarkStart w:id="0" w:name="_GoBack"/>
      <w:bookmarkEnd w:id="0"/>
    </w:p>
    <w:p w14:paraId="21C10AEC" w14:textId="5298E069" w:rsidR="00DA09BA" w:rsidRDefault="00DA09BA"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The second explanation of the basic fiduciary rule named is about allocative efficiency, namely about ‘undetectable hidden gains’. The argument runs basically like this: While the client can observe the amount of fees, and to some extent also the outcome of the advice given and perhaps even the correctness of it, albeit only in tendency, she can typically not observe at all </w:t>
      </w:r>
      <w:r w:rsidR="00F26791">
        <w:rPr>
          <w:rFonts w:ascii="Times New Roman" w:eastAsia="Times New Roman" w:hAnsi="Times New Roman" w:cs="Times New Roman"/>
          <w:color w:val="000000"/>
          <w:sz w:val="24"/>
          <w:szCs w:val="24"/>
          <w:shd w:val="clear" w:color="auto" w:fill="FFFFFF"/>
          <w:lang w:val="en-GB" w:eastAsia="de-DE"/>
        </w:rPr>
        <w:t xml:space="preserve">neither </w:t>
      </w:r>
      <w:r>
        <w:rPr>
          <w:rFonts w:ascii="Times New Roman" w:eastAsia="Times New Roman" w:hAnsi="Times New Roman" w:cs="Times New Roman"/>
          <w:color w:val="000000"/>
          <w:sz w:val="24"/>
          <w:szCs w:val="24"/>
          <w:shd w:val="clear" w:color="auto" w:fill="FFFFFF"/>
          <w:lang w:val="en-GB" w:eastAsia="de-DE"/>
        </w:rPr>
        <w:t xml:space="preserve">whether another advice would have been better </w:t>
      </w:r>
      <w:r w:rsidR="00F26791">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and would have been given</w:t>
      </w:r>
      <w:r w:rsidR="00F26791">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t>had the service provider not been under the influence of a conflicting interest</w:t>
      </w:r>
      <w:r w:rsidR="00F26791">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t>
      </w:r>
      <w:r w:rsidR="00F26791">
        <w:rPr>
          <w:rFonts w:ascii="Times New Roman" w:eastAsia="Times New Roman" w:hAnsi="Times New Roman" w:cs="Times New Roman"/>
          <w:color w:val="000000"/>
          <w:sz w:val="24"/>
          <w:szCs w:val="24"/>
          <w:shd w:val="clear" w:color="auto" w:fill="FFFFFF"/>
          <w:lang w:val="en-GB" w:eastAsia="de-DE"/>
        </w:rPr>
        <w:t>nor</w:t>
      </w:r>
      <w:r>
        <w:rPr>
          <w:rFonts w:ascii="Times New Roman" w:eastAsia="Times New Roman" w:hAnsi="Times New Roman" w:cs="Times New Roman"/>
          <w:color w:val="000000"/>
          <w:sz w:val="24"/>
          <w:szCs w:val="24"/>
          <w:shd w:val="clear" w:color="auto" w:fill="FFFFFF"/>
          <w:lang w:val="en-GB" w:eastAsia="de-DE"/>
        </w:rPr>
        <w:t xml:space="preserve"> whether the service provider has </w:t>
      </w:r>
      <w:r w:rsidR="00F26791">
        <w:rPr>
          <w:rFonts w:ascii="Times New Roman" w:eastAsia="Times New Roman" w:hAnsi="Times New Roman" w:cs="Times New Roman"/>
          <w:color w:val="000000"/>
          <w:sz w:val="24"/>
          <w:szCs w:val="24"/>
          <w:shd w:val="clear" w:color="auto" w:fill="FFFFFF"/>
          <w:lang w:val="en-GB" w:eastAsia="de-DE"/>
        </w:rPr>
        <w:t>profited from</w:t>
      </w:r>
      <w:r>
        <w:rPr>
          <w:rFonts w:ascii="Times New Roman" w:eastAsia="Times New Roman" w:hAnsi="Times New Roman" w:cs="Times New Roman"/>
          <w:color w:val="000000"/>
          <w:sz w:val="24"/>
          <w:szCs w:val="24"/>
          <w:shd w:val="clear" w:color="auto" w:fill="FFFFFF"/>
          <w:lang w:val="en-GB" w:eastAsia="de-DE"/>
        </w:rPr>
        <w:t xml:space="preserve"> the position of influence</w:t>
      </w:r>
      <w:r w:rsidR="00F26791">
        <w:rPr>
          <w:rFonts w:ascii="Times New Roman" w:eastAsia="Times New Roman" w:hAnsi="Times New Roman" w:cs="Times New Roman"/>
          <w:color w:val="000000"/>
          <w:sz w:val="24"/>
          <w:szCs w:val="24"/>
          <w:shd w:val="clear" w:color="auto" w:fill="FFFFFF"/>
          <w:lang w:val="en-GB" w:eastAsia="de-DE"/>
        </w:rPr>
        <w:t xml:space="preserve"> (to the detriment of the client)</w:t>
      </w:r>
      <w:r>
        <w:rPr>
          <w:rFonts w:ascii="Times New Roman" w:eastAsia="Times New Roman" w:hAnsi="Times New Roman" w:cs="Times New Roman"/>
          <w:color w:val="000000"/>
          <w:sz w:val="24"/>
          <w:szCs w:val="24"/>
          <w:shd w:val="clear" w:color="auto" w:fill="FFFFFF"/>
          <w:lang w:val="en-GB" w:eastAsia="de-DE"/>
        </w:rPr>
        <w:t>. Such hidden gains which the service provider makes in addition to the fee openly agreed upon between client and service provider thus render it impossible for the client to assess the quality of the service provided – as compared to other services offered – and the price finally to be paid for it.</w:t>
      </w:r>
      <w:r w:rsidR="00CE6A10">
        <w:rPr>
          <w:rStyle w:val="Rimandonotaapidipagina"/>
          <w:rFonts w:ascii="Times New Roman" w:eastAsia="Times New Roman" w:hAnsi="Times New Roman" w:cs="Times New Roman"/>
          <w:color w:val="000000"/>
          <w:sz w:val="24"/>
          <w:szCs w:val="24"/>
          <w:shd w:val="clear" w:color="auto" w:fill="FFFFFF"/>
          <w:lang w:val="en-GB" w:eastAsia="de-DE"/>
        </w:rPr>
        <w:footnoteReference w:id="90"/>
      </w:r>
      <w:r>
        <w:rPr>
          <w:rFonts w:ascii="Times New Roman" w:eastAsia="Times New Roman" w:hAnsi="Times New Roman" w:cs="Times New Roman"/>
          <w:color w:val="000000"/>
          <w:sz w:val="24"/>
          <w:szCs w:val="24"/>
          <w:shd w:val="clear" w:color="auto" w:fill="FFFFFF"/>
          <w:lang w:val="en-GB" w:eastAsia="de-DE"/>
        </w:rPr>
        <w:t xml:space="preserve"> Unless all service providers are forced by regulation (and sanctions) to disclose any other gains than those agreed upon with the fees</w:t>
      </w:r>
      <w:r w:rsidR="002B2514">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t>
      </w:r>
      <w:r w:rsidR="002B2514">
        <w:rPr>
          <w:rFonts w:ascii="Times New Roman" w:eastAsia="Times New Roman" w:hAnsi="Times New Roman" w:cs="Times New Roman"/>
          <w:color w:val="000000"/>
          <w:sz w:val="24"/>
          <w:szCs w:val="24"/>
          <w:shd w:val="clear" w:color="auto" w:fill="FFFFFF"/>
          <w:lang w:val="en-GB" w:eastAsia="de-DE"/>
        </w:rPr>
        <w:t xml:space="preserve">neither the </w:t>
      </w:r>
      <w:r>
        <w:rPr>
          <w:rFonts w:ascii="Times New Roman" w:eastAsia="Times New Roman" w:hAnsi="Times New Roman" w:cs="Times New Roman"/>
          <w:color w:val="000000"/>
          <w:sz w:val="24"/>
          <w:szCs w:val="24"/>
          <w:shd w:val="clear" w:color="auto" w:fill="FFFFFF"/>
          <w:lang w:val="en-GB" w:eastAsia="de-DE"/>
        </w:rPr>
        <w:t xml:space="preserve">quality of service </w:t>
      </w:r>
      <w:r w:rsidR="002B2514">
        <w:rPr>
          <w:rFonts w:ascii="Times New Roman" w:eastAsia="Times New Roman" w:hAnsi="Times New Roman" w:cs="Times New Roman"/>
          <w:color w:val="000000"/>
          <w:sz w:val="24"/>
          <w:szCs w:val="24"/>
          <w:shd w:val="clear" w:color="auto" w:fill="FFFFFF"/>
          <w:lang w:val="en-GB" w:eastAsia="de-DE"/>
        </w:rPr>
        <w:t>nor the</w:t>
      </w:r>
      <w:r>
        <w:rPr>
          <w:rFonts w:ascii="Times New Roman" w:eastAsia="Times New Roman" w:hAnsi="Times New Roman" w:cs="Times New Roman"/>
          <w:color w:val="000000"/>
          <w:sz w:val="24"/>
          <w:szCs w:val="24"/>
          <w:shd w:val="clear" w:color="auto" w:fill="FFFFFF"/>
          <w:lang w:val="en-GB" w:eastAsia="de-DE"/>
        </w:rPr>
        <w:t xml:space="preserve"> price </w:t>
      </w:r>
      <w:r w:rsidR="002B2514">
        <w:rPr>
          <w:rFonts w:ascii="Times New Roman" w:eastAsia="Times New Roman" w:hAnsi="Times New Roman" w:cs="Times New Roman"/>
          <w:color w:val="000000"/>
          <w:sz w:val="24"/>
          <w:szCs w:val="24"/>
          <w:shd w:val="clear" w:color="auto" w:fill="FFFFFF"/>
          <w:lang w:val="en-GB" w:eastAsia="de-DE"/>
        </w:rPr>
        <w:t>can</w:t>
      </w:r>
      <w:r>
        <w:rPr>
          <w:rFonts w:ascii="Times New Roman" w:eastAsia="Times New Roman" w:hAnsi="Times New Roman" w:cs="Times New Roman"/>
          <w:color w:val="000000"/>
          <w:sz w:val="24"/>
          <w:szCs w:val="24"/>
          <w:shd w:val="clear" w:color="auto" w:fill="FFFFFF"/>
          <w:lang w:val="en-GB" w:eastAsia="de-DE"/>
        </w:rPr>
        <w:t xml:space="preserve"> be observed – with the consequences first described by G. Akerlof (adverse selection, market for lemons).</w:t>
      </w:r>
      <w:r>
        <w:rPr>
          <w:rStyle w:val="Rimandonotaapidipagina"/>
          <w:szCs w:val="24"/>
        </w:rPr>
        <w:footnoteReference w:id="91"/>
      </w:r>
      <w:r>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lastRenderedPageBreak/>
        <w:t xml:space="preserve">It is just intransparent </w:t>
      </w:r>
      <w:r w:rsidRPr="008E59E8">
        <w:rPr>
          <w:rFonts w:ascii="Times New Roman" w:hAnsi="Times New Roman" w:cs="Times New Roman"/>
          <w:sz w:val="24"/>
          <w:szCs w:val="24"/>
          <w:lang w:val="en-GB"/>
        </w:rPr>
        <w:t xml:space="preserve">how high the chances are that the client would have been offered a better investment opportunity without such conflicts of interest existing. </w:t>
      </w:r>
      <w:r w:rsidRPr="008E59E8">
        <w:rPr>
          <w:rFonts w:ascii="Times New Roman" w:hAnsi="Times New Roman" w:cs="Times New Roman"/>
          <w:sz w:val="24"/>
          <w:szCs w:val="24"/>
          <w:lang w:val="en-US"/>
        </w:rPr>
        <w:t xml:space="preserve">In terms of information theory, the problem of vagueness is that </w:t>
      </w:r>
      <w:r w:rsidR="002B2514">
        <w:rPr>
          <w:rFonts w:ascii="Times New Roman" w:hAnsi="Times New Roman" w:cs="Times New Roman"/>
          <w:sz w:val="24"/>
          <w:szCs w:val="24"/>
          <w:lang w:val="en-US"/>
        </w:rPr>
        <w:t xml:space="preserve">the </w:t>
      </w:r>
      <w:r w:rsidRPr="008E59E8">
        <w:rPr>
          <w:rFonts w:ascii="Times New Roman" w:hAnsi="Times New Roman" w:cs="Times New Roman"/>
          <w:sz w:val="24"/>
          <w:szCs w:val="24"/>
          <w:lang w:val="en-US"/>
        </w:rPr>
        <w:t xml:space="preserve">quality of the advice (service) </w:t>
      </w:r>
      <w:r w:rsidR="002B2514">
        <w:rPr>
          <w:rFonts w:ascii="Times New Roman" w:hAnsi="Times New Roman" w:cs="Times New Roman"/>
          <w:sz w:val="24"/>
          <w:szCs w:val="24"/>
          <w:lang w:val="en-US"/>
        </w:rPr>
        <w:t>is</w:t>
      </w:r>
      <w:r w:rsidRPr="008E59E8">
        <w:rPr>
          <w:rFonts w:ascii="Times New Roman" w:hAnsi="Times New Roman" w:cs="Times New Roman"/>
          <w:sz w:val="24"/>
          <w:szCs w:val="24"/>
          <w:lang w:val="en-US"/>
        </w:rPr>
        <w:t xml:space="preserve"> a credence </w:t>
      </w:r>
      <w:r w:rsidR="002B2514">
        <w:rPr>
          <w:rFonts w:ascii="Times New Roman" w:hAnsi="Times New Roman" w:cs="Times New Roman"/>
          <w:sz w:val="24"/>
          <w:szCs w:val="24"/>
          <w:lang w:val="en-US"/>
        </w:rPr>
        <w:t xml:space="preserve">rather </w:t>
      </w:r>
      <w:r w:rsidRPr="008E59E8">
        <w:rPr>
          <w:rFonts w:ascii="Times New Roman" w:hAnsi="Times New Roman" w:cs="Times New Roman"/>
          <w:sz w:val="24"/>
          <w:szCs w:val="24"/>
          <w:lang w:val="en-US"/>
        </w:rPr>
        <w:t>than an experience or even an inspection good.</w:t>
      </w:r>
      <w:r w:rsidRPr="008E59E8">
        <w:rPr>
          <w:rStyle w:val="Rimandonotaapidipagina"/>
          <w:rFonts w:ascii="Times New Roman" w:hAnsi="Times New Roman" w:cs="Times New Roman"/>
          <w:sz w:val="24"/>
          <w:szCs w:val="24"/>
          <w:lang w:val="en-US"/>
        </w:rPr>
        <w:footnoteReference w:id="92"/>
      </w:r>
      <w:r w:rsidRPr="008E59E8">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shd w:val="clear" w:color="auto" w:fill="FFFFFF"/>
          <w:lang w:val="en-GB" w:eastAsia="de-DE"/>
        </w:rPr>
        <w:t>This would seem to be the line of arguments which also owes most to principal agent theory as developed by M. Jensen and W. Meckling:</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93"/>
      </w:r>
      <w:r>
        <w:rPr>
          <w:rFonts w:ascii="Times New Roman" w:eastAsia="Times New Roman" w:hAnsi="Times New Roman" w:cs="Times New Roman"/>
          <w:color w:val="000000"/>
          <w:sz w:val="24"/>
          <w:szCs w:val="24"/>
          <w:shd w:val="clear" w:color="auto" w:fill="FFFFFF"/>
          <w:lang w:val="en-GB" w:eastAsia="de-DE"/>
        </w:rPr>
        <w:t xml:space="preserve"> The basis of principal agent theory as applied to questions of structure of finance for enterprises would seem to be that the professional side has to make the offers as competitive as possible – to attract the investors –, but as well as transparent as possible to render the choice by the investors as informed as possible (with a view to foster allocative efficiency).</w:t>
      </w:r>
    </w:p>
    <w:p w14:paraId="05CCBCBB" w14:textId="1F10741D" w:rsidR="00DA09BA" w:rsidRPr="00E55F4C" w:rsidRDefault="00DA09BA"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The third explanation of the basic fiduciary rule named is about ‘cognitive limitations’. Much of the </w:t>
      </w:r>
      <w:r w:rsidR="002B2514">
        <w:rPr>
          <w:rFonts w:ascii="Times New Roman" w:eastAsia="Times New Roman" w:hAnsi="Times New Roman" w:cs="Times New Roman"/>
          <w:color w:val="000000"/>
          <w:sz w:val="24"/>
          <w:szCs w:val="24"/>
          <w:shd w:val="clear" w:color="auto" w:fill="FFFFFF"/>
          <w:lang w:val="en-GB" w:eastAsia="de-DE"/>
        </w:rPr>
        <w:t>rhetoric</w:t>
      </w:r>
      <w:r>
        <w:rPr>
          <w:rFonts w:ascii="Times New Roman" w:eastAsia="Times New Roman" w:hAnsi="Times New Roman" w:cs="Times New Roman"/>
          <w:color w:val="000000"/>
          <w:sz w:val="24"/>
          <w:szCs w:val="24"/>
          <w:shd w:val="clear" w:color="auto" w:fill="FFFFFF"/>
          <w:lang w:val="en-GB" w:eastAsia="de-DE"/>
        </w:rPr>
        <w:t xml:space="preserve"> of the recitals of MiFID II points indeed into this direction: This explanation is both about cognitive capacity limits and about bounded rationality in the strict sense. Cognitive capacity limits are about how much information investors can retrieve – of course varying from investor to investor, but relevant if private investment is to be attracted at all – and where, on the other side, information overload starts.</w:t>
      </w:r>
      <w:bookmarkStart w:id="1" w:name="_Ref411673227"/>
      <w:r w:rsidRPr="00600A03">
        <w:rPr>
          <w:rStyle w:val="Rimandonotaapidipagina"/>
          <w:szCs w:val="24"/>
          <w:lang w:val="en-US"/>
        </w:rPr>
        <w:footnoteReference w:id="94"/>
      </w:r>
      <w:bookmarkEnd w:id="1"/>
      <w:r>
        <w:rPr>
          <w:rFonts w:ascii="Times New Roman" w:eastAsia="Times New Roman" w:hAnsi="Times New Roman" w:cs="Times New Roman"/>
          <w:color w:val="000000"/>
          <w:sz w:val="24"/>
          <w:szCs w:val="24"/>
          <w:shd w:val="clear" w:color="auto" w:fill="FFFFFF"/>
          <w:lang w:val="en-GB" w:eastAsia="de-DE"/>
        </w:rPr>
        <w:t xml:space="preserve"> Beyond that limit, additional information rather deteriorates the quality of decisions.</w:t>
      </w:r>
      <w:bookmarkStart w:id="2" w:name="_Ref410201420"/>
      <w:r w:rsidRPr="00600A03">
        <w:rPr>
          <w:rStyle w:val="Rimandonotaapidipagina"/>
          <w:szCs w:val="24"/>
          <w:lang w:val="en-US"/>
        </w:rPr>
        <w:footnoteReference w:id="95"/>
      </w:r>
      <w:bookmarkEnd w:id="2"/>
      <w:r>
        <w:rPr>
          <w:rFonts w:ascii="Times New Roman" w:eastAsia="Times New Roman" w:hAnsi="Times New Roman" w:cs="Times New Roman"/>
          <w:color w:val="000000"/>
          <w:sz w:val="24"/>
          <w:szCs w:val="24"/>
          <w:shd w:val="clear" w:color="auto" w:fill="FFFFFF"/>
          <w:lang w:val="en-GB" w:eastAsia="de-DE"/>
        </w:rPr>
        <w:t xml:space="preserve"> Bounded rationality is about cognitive biases – even if the transparency and amount of information are well calibrated. Important biases, for instance with respect to conflicts of interest, may be that the client believes that this service provider would not give in to a conflicting interest (over-optimism).</w:t>
      </w:r>
      <w:r>
        <w:rPr>
          <w:rStyle w:val="Rimandonotaapidipagina"/>
          <w:szCs w:val="24"/>
          <w:lang w:val="en-US"/>
        </w:rPr>
        <w:footnoteReference w:id="96"/>
      </w:r>
      <w:r>
        <w:rPr>
          <w:rFonts w:ascii="Times New Roman" w:eastAsia="Times New Roman" w:hAnsi="Times New Roman" w:cs="Times New Roman"/>
          <w:color w:val="000000"/>
          <w:sz w:val="24"/>
          <w:szCs w:val="24"/>
          <w:shd w:val="clear" w:color="auto" w:fill="FFFFFF"/>
          <w:lang w:val="en-GB" w:eastAsia="de-DE"/>
        </w:rPr>
        <w:t xml:space="preserve"> By hindsight – and absent massive losses – the client may also filter only or mainly information which ‘confirms’ that she was served by a particularly loyal service provider (confirmation bias).</w:t>
      </w:r>
      <w:r>
        <w:rPr>
          <w:rStyle w:val="Rimandonotaapidipagina"/>
          <w:szCs w:val="24"/>
          <w:lang w:val="en-US"/>
        </w:rPr>
        <w:footnoteReference w:id="97"/>
      </w:r>
      <w:r>
        <w:rPr>
          <w:rFonts w:ascii="Times New Roman" w:eastAsia="Times New Roman" w:hAnsi="Times New Roman" w:cs="Times New Roman"/>
          <w:color w:val="000000"/>
          <w:sz w:val="24"/>
          <w:szCs w:val="24"/>
          <w:shd w:val="clear" w:color="auto" w:fill="FFFFFF"/>
          <w:lang w:val="en-GB" w:eastAsia="de-DE"/>
        </w:rPr>
        <w:t xml:space="preserve"> One figure proves how important these considerations really are: </w:t>
      </w:r>
      <w:r w:rsidRPr="008E59E8">
        <w:rPr>
          <w:rFonts w:ascii="Times New Roman" w:hAnsi="Times New Roman" w:cs="Times New Roman"/>
          <w:sz w:val="24"/>
          <w:szCs w:val="24"/>
          <w:lang w:val="en-US"/>
        </w:rPr>
        <w:t>More than 80 % of the advisees in the EU generally trust their advisors.</w:t>
      </w:r>
      <w:r w:rsidRPr="008E59E8">
        <w:rPr>
          <w:rStyle w:val="Rimandonotaapidipagina"/>
          <w:rFonts w:ascii="Times New Roman" w:hAnsi="Times New Roman" w:cs="Times New Roman"/>
          <w:sz w:val="24"/>
          <w:szCs w:val="24"/>
          <w:lang w:val="en-US"/>
        </w:rPr>
        <w:footnoteReference w:id="98"/>
      </w:r>
      <w:r w:rsidR="00DB1A0E">
        <w:rPr>
          <w:rFonts w:ascii="Times New Roman" w:hAnsi="Times New Roman" w:cs="Times New Roman"/>
          <w:sz w:val="24"/>
          <w:szCs w:val="24"/>
          <w:lang w:val="en-US"/>
        </w:rPr>
        <w:t xml:space="preserve"> The implication of cognitive limitations is that consumers are often not as capable of fostering their own interests on the (financial) market as we believed them to be. Thus, the legal system has to intervene on new grounds (“behavioural market failures”) in the regulation of financial markets.</w:t>
      </w:r>
      <w:r w:rsidR="0077428A">
        <w:rPr>
          <w:rFonts w:ascii="Times New Roman" w:hAnsi="Times New Roman" w:cs="Times New Roman"/>
          <w:sz w:val="24"/>
          <w:szCs w:val="24"/>
          <w:lang w:val="en-US"/>
        </w:rPr>
        <w:t xml:space="preserve"> Ultimately, cognitive limitations fall within the EU concept of vulnerability</w:t>
      </w:r>
      <w:r w:rsidR="0077428A">
        <w:rPr>
          <w:rStyle w:val="Rimandonotaapidipagina"/>
          <w:rFonts w:ascii="Times New Roman" w:hAnsi="Times New Roman" w:cs="Times New Roman"/>
          <w:sz w:val="24"/>
          <w:szCs w:val="24"/>
          <w:lang w:val="en-US"/>
        </w:rPr>
        <w:footnoteReference w:id="99"/>
      </w:r>
      <w:r w:rsidR="0077428A">
        <w:rPr>
          <w:rFonts w:ascii="Times New Roman" w:hAnsi="Times New Roman" w:cs="Times New Roman"/>
          <w:sz w:val="24"/>
          <w:szCs w:val="24"/>
          <w:lang w:val="en-US"/>
        </w:rPr>
        <w:t xml:space="preserve"> and, more generally, of the consumer as weaker party.</w:t>
      </w:r>
    </w:p>
    <w:p w14:paraId="1A7116DF" w14:textId="23BFE53E" w:rsidR="00DA09BA" w:rsidRDefault="00DA09BA" w:rsidP="001547E0">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All three approaches are not to be seen in isolation from each other. They prove convincing – sometimes jointly, sometimes as diverging modes of explanation – in different situations. The main purpose of the following is twofold: (i) to see how the different approaches prove helpful in different situations, often one or the other being particularly convincing (and also more convincing than the others); and (ii) to see that there is, however, one main thrust which is to use these approaches in general always with one ultimate goal only, which is to </w:t>
      </w:r>
      <w:r w:rsidR="002B2514">
        <w:rPr>
          <w:rFonts w:ascii="Times New Roman" w:eastAsia="Times New Roman" w:hAnsi="Times New Roman" w:cs="Times New Roman"/>
          <w:color w:val="000000"/>
          <w:sz w:val="24"/>
          <w:szCs w:val="24"/>
          <w:shd w:val="clear" w:color="auto" w:fill="FFFFFF"/>
          <w:lang w:val="en-GB" w:eastAsia="de-DE"/>
        </w:rPr>
        <w:t>foster</w:t>
      </w:r>
      <w:r>
        <w:rPr>
          <w:rFonts w:ascii="Times New Roman" w:eastAsia="Times New Roman" w:hAnsi="Times New Roman" w:cs="Times New Roman"/>
          <w:color w:val="000000"/>
          <w:sz w:val="24"/>
          <w:szCs w:val="24"/>
          <w:shd w:val="clear" w:color="auto" w:fill="FFFFFF"/>
          <w:lang w:val="en-GB" w:eastAsia="de-DE"/>
        </w:rPr>
        <w:t xml:space="preserve"> the interest of the investor(s), and that the main problem with this goal is not the clash with the interests of the service provider, but the fact that not all investors have the same interests (heterogeneity of the group of investors): They have different limits of information retrieval </w:t>
      </w:r>
      <w:r>
        <w:rPr>
          <w:rFonts w:ascii="Times New Roman" w:eastAsia="Times New Roman" w:hAnsi="Times New Roman" w:cs="Times New Roman"/>
          <w:color w:val="000000"/>
          <w:sz w:val="24"/>
          <w:szCs w:val="24"/>
          <w:shd w:val="clear" w:color="auto" w:fill="FFFFFF"/>
          <w:lang w:val="en-GB" w:eastAsia="de-DE"/>
        </w:rPr>
        <w:lastRenderedPageBreak/>
        <w:t>capacity, their cognitive biases are different, but also their capacity to bear losses diverges substantially.</w:t>
      </w:r>
    </w:p>
    <w:p w14:paraId="1D461B54" w14:textId="79F5E083" w:rsidR="00DB1A0E" w:rsidRDefault="00DB1A0E" w:rsidP="001547E0">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It is of great interest in the context of warrantying the framework proposed by this article to compare our understanding of allocative efficiency with </w:t>
      </w:r>
      <w:r w:rsidR="00DF5C15">
        <w:rPr>
          <w:rFonts w:ascii="Times New Roman" w:eastAsia="Times New Roman" w:hAnsi="Times New Roman" w:cs="Times New Roman"/>
          <w:color w:val="000000"/>
          <w:sz w:val="24"/>
          <w:szCs w:val="24"/>
          <w:shd w:val="clear" w:color="auto" w:fill="FFFFFF"/>
          <w:lang w:val="en-GB" w:eastAsia="de-DE"/>
        </w:rPr>
        <w:t xml:space="preserve">the </w:t>
      </w:r>
      <w:r>
        <w:rPr>
          <w:rFonts w:ascii="Times New Roman" w:eastAsia="Times New Roman" w:hAnsi="Times New Roman" w:cs="Times New Roman"/>
          <w:color w:val="000000"/>
          <w:sz w:val="24"/>
          <w:szCs w:val="24"/>
          <w:shd w:val="clear" w:color="auto" w:fill="FFFFFF"/>
          <w:lang w:val="en-GB" w:eastAsia="de-DE"/>
        </w:rPr>
        <w:t xml:space="preserve">three rationales just presented. </w:t>
      </w:r>
      <w:r w:rsidR="0077428A">
        <w:rPr>
          <w:rFonts w:ascii="Times New Roman" w:eastAsia="Times New Roman" w:hAnsi="Times New Roman" w:cs="Times New Roman"/>
          <w:color w:val="000000"/>
          <w:sz w:val="24"/>
          <w:szCs w:val="24"/>
          <w:shd w:val="clear" w:color="auto" w:fill="FFFFFF"/>
          <w:lang w:val="en-GB" w:eastAsia="de-DE"/>
        </w:rPr>
        <w:t>The fairness argument connects the fiduciary duty to the idea of delegation of rights. Basically, this is the same normative ground we saw in section II. 2 lett. c) as an alternative to an aggregate value (micro)economic market rationale.</w:t>
      </w:r>
      <w:r w:rsidR="00DF5C15">
        <w:rPr>
          <w:rFonts w:ascii="Times New Roman" w:eastAsia="Times New Roman" w:hAnsi="Times New Roman" w:cs="Times New Roman"/>
          <w:color w:val="000000"/>
          <w:sz w:val="24"/>
          <w:szCs w:val="24"/>
          <w:shd w:val="clear" w:color="auto" w:fill="FFFFFF"/>
          <w:lang w:val="en-GB" w:eastAsia="de-DE"/>
        </w:rPr>
        <w:t xml:space="preserve"> As seen, it work both for consumers than shareholders. It is therefore unsurprising that it works for investors too.</w:t>
      </w:r>
      <w:r w:rsidR="0077428A">
        <w:rPr>
          <w:rFonts w:ascii="Times New Roman" w:eastAsia="Times New Roman" w:hAnsi="Times New Roman" w:cs="Times New Roman"/>
          <w:color w:val="000000"/>
          <w:sz w:val="24"/>
          <w:szCs w:val="24"/>
          <w:shd w:val="clear" w:color="auto" w:fill="FFFFFF"/>
          <w:lang w:val="en-GB" w:eastAsia="de-DE"/>
        </w:rPr>
        <w:t xml:space="preserve"> The argument about hidden gains points out that when gains are hidden, consumers are not in the position to choose in their best interest. Notably, in an overall value framework, comparisons between losses and gains should be either made or their irrelevance should be justified on overall value grounds (for example, by arguing that surplus distribution is irrelevant). However, the hidden costs argument puts the entire focus on the effect of hidden costs on consumers. Indeed, this is the focus of our understanding of allocative efficiency. Moreover, it is the focus of corporate governance – a connection fully consistent with our approach.</w:t>
      </w:r>
      <w:r w:rsidR="0077428A">
        <w:rPr>
          <w:rStyle w:val="Rimandonotaapidipagina"/>
          <w:rFonts w:ascii="Times New Roman" w:eastAsia="Times New Roman" w:hAnsi="Times New Roman" w:cs="Times New Roman"/>
          <w:color w:val="000000"/>
          <w:sz w:val="24"/>
          <w:szCs w:val="24"/>
          <w:shd w:val="clear" w:color="auto" w:fill="FFFFFF"/>
          <w:lang w:val="en-GB" w:eastAsia="de-DE"/>
        </w:rPr>
        <w:footnoteReference w:id="100"/>
      </w:r>
      <w:r w:rsidR="0077428A">
        <w:rPr>
          <w:rFonts w:ascii="Times New Roman" w:eastAsia="Times New Roman" w:hAnsi="Times New Roman" w:cs="Times New Roman"/>
          <w:color w:val="000000"/>
          <w:sz w:val="24"/>
          <w:szCs w:val="24"/>
          <w:shd w:val="clear" w:color="auto" w:fill="FFFFFF"/>
          <w:lang w:val="en-GB" w:eastAsia="de-DE"/>
        </w:rPr>
        <w:t xml:space="preserve"> Finally, </w:t>
      </w:r>
      <w:r w:rsidR="00DF5C15">
        <w:rPr>
          <w:rFonts w:ascii="Times New Roman" w:eastAsia="Times New Roman" w:hAnsi="Times New Roman" w:cs="Times New Roman"/>
          <w:color w:val="000000"/>
          <w:sz w:val="24"/>
          <w:szCs w:val="24"/>
          <w:shd w:val="clear" w:color="auto" w:fill="FFFFFF"/>
          <w:lang w:val="en-GB" w:eastAsia="de-DE"/>
        </w:rPr>
        <w:t xml:space="preserve">due to </w:t>
      </w:r>
      <w:r w:rsidR="0077428A">
        <w:rPr>
          <w:rFonts w:ascii="Times New Roman" w:eastAsia="Times New Roman" w:hAnsi="Times New Roman" w:cs="Times New Roman"/>
          <w:color w:val="000000"/>
          <w:sz w:val="24"/>
          <w:szCs w:val="24"/>
          <w:shd w:val="clear" w:color="auto" w:fill="FFFFFF"/>
          <w:lang w:val="en-GB" w:eastAsia="de-DE"/>
        </w:rPr>
        <w:t>cognitive limitations</w:t>
      </w:r>
      <w:r w:rsidR="00DF5C15">
        <w:rPr>
          <w:rFonts w:ascii="Times New Roman" w:eastAsia="Times New Roman" w:hAnsi="Times New Roman" w:cs="Times New Roman"/>
          <w:color w:val="000000"/>
          <w:sz w:val="24"/>
          <w:szCs w:val="24"/>
          <w:shd w:val="clear" w:color="auto" w:fill="FFFFFF"/>
          <w:lang w:val="en-GB" w:eastAsia="de-DE"/>
        </w:rPr>
        <w:t>,</w:t>
      </w:r>
      <w:r w:rsidR="0077428A">
        <w:rPr>
          <w:rFonts w:ascii="Times New Roman" w:eastAsia="Times New Roman" w:hAnsi="Times New Roman" w:cs="Times New Roman"/>
          <w:color w:val="000000"/>
          <w:sz w:val="24"/>
          <w:szCs w:val="24"/>
          <w:shd w:val="clear" w:color="auto" w:fill="FFFFFF"/>
          <w:lang w:val="en-GB" w:eastAsia="de-DE"/>
        </w:rPr>
        <w:t xml:space="preserve"> informed consumers are not </w:t>
      </w:r>
      <w:r w:rsidR="00DF5C15">
        <w:rPr>
          <w:rFonts w:ascii="Times New Roman" w:eastAsia="Times New Roman" w:hAnsi="Times New Roman" w:cs="Times New Roman"/>
          <w:color w:val="000000"/>
          <w:sz w:val="24"/>
          <w:szCs w:val="24"/>
          <w:shd w:val="clear" w:color="auto" w:fill="FFFFFF"/>
          <w:lang w:val="en-GB" w:eastAsia="de-DE"/>
        </w:rPr>
        <w:t xml:space="preserve">necessarily </w:t>
      </w:r>
      <w:r w:rsidR="0077428A">
        <w:rPr>
          <w:rFonts w:ascii="Times New Roman" w:eastAsia="Times New Roman" w:hAnsi="Times New Roman" w:cs="Times New Roman"/>
          <w:color w:val="000000"/>
          <w:sz w:val="24"/>
          <w:szCs w:val="24"/>
          <w:shd w:val="clear" w:color="auto" w:fill="FFFFFF"/>
          <w:lang w:val="en-GB" w:eastAsia="de-DE"/>
        </w:rPr>
        <w:t xml:space="preserve">the best judges of their interests. The implication is that </w:t>
      </w:r>
      <w:r w:rsidR="00DF5C15">
        <w:rPr>
          <w:rFonts w:ascii="Times New Roman" w:eastAsia="Times New Roman" w:hAnsi="Times New Roman" w:cs="Times New Roman"/>
          <w:color w:val="000000"/>
          <w:sz w:val="24"/>
          <w:szCs w:val="24"/>
          <w:shd w:val="clear" w:color="auto" w:fill="FFFFFF"/>
          <w:lang w:val="en-GB" w:eastAsia="de-DE"/>
        </w:rPr>
        <w:t xml:space="preserve">considering cognitive limitations increases the potential scope for market behaviour regulation. This is important because the aggregate value implications of cognitive limitations are rather indeterminate. To the contrary, their implications for a framework aiming at our understanding of allocative efficiency are clearer: </w:t>
      </w:r>
      <w:r w:rsidR="00C81617">
        <w:rPr>
          <w:rFonts w:ascii="Times New Roman" w:eastAsia="Times New Roman" w:hAnsi="Times New Roman" w:cs="Times New Roman"/>
          <w:color w:val="000000"/>
          <w:sz w:val="24"/>
          <w:szCs w:val="24"/>
          <w:shd w:val="clear" w:color="auto" w:fill="FFFFFF"/>
          <w:lang w:val="en-GB" w:eastAsia="de-DE"/>
        </w:rPr>
        <w:t>the teamwork of primary agents is a less reliable means to the end of allocative efficiency.</w:t>
      </w:r>
      <w:r w:rsidR="00C81617">
        <w:rPr>
          <w:rStyle w:val="Rimandonotaapidipagina"/>
          <w:rFonts w:ascii="Times New Roman" w:eastAsia="Times New Roman" w:hAnsi="Times New Roman" w:cs="Times New Roman"/>
          <w:color w:val="000000"/>
          <w:sz w:val="24"/>
          <w:szCs w:val="24"/>
          <w:shd w:val="clear" w:color="auto" w:fill="FFFFFF"/>
          <w:lang w:val="en-GB" w:eastAsia="de-DE"/>
        </w:rPr>
        <w:footnoteReference w:id="101"/>
      </w:r>
    </w:p>
    <w:p w14:paraId="7F8720AE" w14:textId="166B04DE" w:rsidR="00DA09BA" w:rsidRPr="002852FA" w:rsidRDefault="002852F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r w:rsidRPr="002852FA">
        <w:rPr>
          <w:rFonts w:ascii="Times New Roman" w:eastAsia="Times New Roman" w:hAnsi="Times New Roman" w:cs="Times New Roman"/>
          <w:color w:val="000000"/>
          <w:sz w:val="24"/>
          <w:szCs w:val="24"/>
          <w:shd w:val="clear" w:color="auto" w:fill="FFFFFF"/>
          <w:lang w:val="en-GB" w:eastAsia="de-DE"/>
        </w:rPr>
        <w:t>We h</w:t>
      </w:r>
      <w:r>
        <w:rPr>
          <w:rFonts w:ascii="Times New Roman" w:eastAsia="Times New Roman" w:hAnsi="Times New Roman" w:cs="Times New Roman"/>
          <w:color w:val="000000"/>
          <w:sz w:val="24"/>
          <w:szCs w:val="24"/>
          <w:shd w:val="clear" w:color="auto" w:fill="FFFFFF"/>
          <w:lang w:val="en-GB" w:eastAsia="de-DE"/>
        </w:rPr>
        <w:t>a</w:t>
      </w:r>
      <w:r w:rsidRPr="002852FA">
        <w:rPr>
          <w:rFonts w:ascii="Times New Roman" w:eastAsia="Times New Roman" w:hAnsi="Times New Roman" w:cs="Times New Roman"/>
          <w:color w:val="000000"/>
          <w:sz w:val="24"/>
          <w:szCs w:val="24"/>
          <w:shd w:val="clear" w:color="auto" w:fill="FFFFFF"/>
          <w:lang w:val="en-GB" w:eastAsia="de-DE"/>
        </w:rPr>
        <w:t>ve</w:t>
      </w:r>
      <w:r>
        <w:rPr>
          <w:rFonts w:ascii="Times New Roman" w:eastAsia="Times New Roman" w:hAnsi="Times New Roman" w:cs="Times New Roman"/>
          <w:color w:val="000000"/>
          <w:sz w:val="24"/>
          <w:szCs w:val="24"/>
          <w:shd w:val="clear" w:color="auto" w:fill="FFFFFF"/>
          <w:lang w:val="en-GB" w:eastAsia="de-DE"/>
        </w:rPr>
        <w:t xml:space="preserve"> seen that the three main rationales for the introduction of fiduciary duties in financial services regulations are all compatible with the notion of allocative efficiency proposed by this framework. We now turn to the analysis of the regulatory choices made in the MiFID II to make our case stronger.</w:t>
      </w:r>
    </w:p>
    <w:p w14:paraId="11F99AD6" w14:textId="77777777" w:rsidR="002852FA" w:rsidRDefault="002852F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p>
    <w:p w14:paraId="7DFDB1D6" w14:textId="4DE607BE" w:rsidR="00DA09BA" w:rsidRPr="008E59E8"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8E59E8">
        <w:rPr>
          <w:rFonts w:ascii="Times New Roman" w:eastAsia="Times New Roman" w:hAnsi="Times New Roman" w:cs="Times New Roman"/>
          <w:b/>
          <w:color w:val="000000"/>
          <w:sz w:val="24"/>
          <w:szCs w:val="24"/>
          <w:shd w:val="clear" w:color="auto" w:fill="FFFFFF"/>
          <w:lang w:val="en-GB" w:eastAsia="de-DE"/>
        </w:rPr>
        <w:t>2. Disclosure Regime</w:t>
      </w:r>
      <w:r w:rsidR="00CE6A10">
        <w:rPr>
          <w:rFonts w:ascii="Times New Roman" w:eastAsia="Times New Roman" w:hAnsi="Times New Roman" w:cs="Times New Roman"/>
          <w:b/>
          <w:color w:val="000000"/>
          <w:sz w:val="24"/>
          <w:szCs w:val="24"/>
          <w:shd w:val="clear" w:color="auto" w:fill="FFFFFF"/>
          <w:lang w:val="en-GB" w:eastAsia="de-DE"/>
        </w:rPr>
        <w:t>,</w:t>
      </w:r>
      <w:r w:rsidRPr="008E59E8">
        <w:rPr>
          <w:rFonts w:ascii="Times New Roman" w:eastAsia="Times New Roman" w:hAnsi="Times New Roman" w:cs="Times New Roman"/>
          <w:b/>
          <w:color w:val="000000"/>
          <w:sz w:val="24"/>
          <w:szCs w:val="24"/>
          <w:shd w:val="clear" w:color="auto" w:fill="FFFFFF"/>
          <w:lang w:val="en-GB" w:eastAsia="de-DE"/>
        </w:rPr>
        <w:t xml:space="preserve"> Know</w:t>
      </w:r>
      <w:r>
        <w:rPr>
          <w:rFonts w:ascii="Times New Roman" w:eastAsia="Times New Roman" w:hAnsi="Times New Roman" w:cs="Times New Roman"/>
          <w:b/>
          <w:color w:val="000000"/>
          <w:sz w:val="24"/>
          <w:szCs w:val="24"/>
          <w:shd w:val="clear" w:color="auto" w:fill="FFFFFF"/>
          <w:lang w:val="en-GB" w:eastAsia="de-DE"/>
        </w:rPr>
        <w:t xml:space="preserve"> </w:t>
      </w:r>
      <w:r w:rsidRPr="008E59E8">
        <w:rPr>
          <w:rFonts w:ascii="Times New Roman" w:eastAsia="Times New Roman" w:hAnsi="Times New Roman" w:cs="Times New Roman"/>
          <w:b/>
          <w:color w:val="000000"/>
          <w:sz w:val="24"/>
          <w:szCs w:val="24"/>
          <w:shd w:val="clear" w:color="auto" w:fill="FFFFFF"/>
          <w:lang w:val="en-GB" w:eastAsia="de-DE"/>
        </w:rPr>
        <w:t xml:space="preserve">Your Customer </w:t>
      </w:r>
      <w:r w:rsidR="00CE6A10">
        <w:rPr>
          <w:rFonts w:ascii="Times New Roman" w:eastAsia="Times New Roman" w:hAnsi="Times New Roman" w:cs="Times New Roman"/>
          <w:b/>
          <w:color w:val="000000"/>
          <w:sz w:val="24"/>
          <w:szCs w:val="24"/>
          <w:shd w:val="clear" w:color="auto" w:fill="FFFFFF"/>
          <w:lang w:val="en-GB" w:eastAsia="de-DE"/>
        </w:rPr>
        <w:t xml:space="preserve">and Best Execution </w:t>
      </w:r>
      <w:r w:rsidRPr="008E59E8">
        <w:rPr>
          <w:rFonts w:ascii="Times New Roman" w:eastAsia="Times New Roman" w:hAnsi="Times New Roman" w:cs="Times New Roman"/>
          <w:b/>
          <w:color w:val="000000"/>
          <w:sz w:val="24"/>
          <w:szCs w:val="24"/>
          <w:shd w:val="clear" w:color="auto" w:fill="FFFFFF"/>
          <w:lang w:val="en-GB" w:eastAsia="de-DE"/>
        </w:rPr>
        <w:t>Rule</w:t>
      </w:r>
      <w:r w:rsidR="00CE6A10">
        <w:rPr>
          <w:rFonts w:ascii="Times New Roman" w:eastAsia="Times New Roman" w:hAnsi="Times New Roman" w:cs="Times New Roman"/>
          <w:b/>
          <w:color w:val="000000"/>
          <w:sz w:val="24"/>
          <w:szCs w:val="24"/>
          <w:shd w:val="clear" w:color="auto" w:fill="FFFFFF"/>
          <w:lang w:val="en-GB" w:eastAsia="de-DE"/>
        </w:rPr>
        <w:t>s</w:t>
      </w:r>
      <w:r w:rsidRPr="008E59E8">
        <w:rPr>
          <w:rFonts w:ascii="Times New Roman" w:eastAsia="Times New Roman" w:hAnsi="Times New Roman" w:cs="Times New Roman"/>
          <w:b/>
          <w:color w:val="000000"/>
          <w:sz w:val="24"/>
          <w:szCs w:val="24"/>
          <w:shd w:val="clear" w:color="auto" w:fill="FFFFFF"/>
          <w:lang w:val="en-GB" w:eastAsia="de-DE"/>
        </w:rPr>
        <w:t xml:space="preserve"> as Significant Examples</w:t>
      </w:r>
    </w:p>
    <w:p w14:paraId="089C5E0D"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71D0BD36"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w:t>
      </w:r>
      <w:r w:rsidRPr="008E59E8">
        <w:rPr>
          <w:rFonts w:ascii="Times New Roman" w:eastAsia="Times New Roman" w:hAnsi="Times New Roman" w:cs="Times New Roman"/>
          <w:i/>
          <w:color w:val="000000"/>
          <w:sz w:val="24"/>
          <w:szCs w:val="24"/>
          <w:shd w:val="clear" w:color="auto" w:fill="FFFFFF"/>
          <w:lang w:val="en-GB" w:eastAsia="de-DE"/>
        </w:rPr>
        <w:t>to be added in the final draft</w:t>
      </w:r>
      <w:r>
        <w:rPr>
          <w:rFonts w:ascii="Times New Roman" w:eastAsia="Times New Roman" w:hAnsi="Times New Roman" w:cs="Times New Roman"/>
          <w:color w:val="000000"/>
          <w:sz w:val="24"/>
          <w:szCs w:val="24"/>
          <w:shd w:val="clear" w:color="auto" w:fill="FFFFFF"/>
          <w:lang w:val="en-GB" w:eastAsia="de-DE"/>
        </w:rPr>
        <w:t>)</w:t>
      </w:r>
    </w:p>
    <w:p w14:paraId="6FF7AC10"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1C1FDCD4" w14:textId="77777777" w:rsidR="00950313" w:rsidRPr="00497A81" w:rsidRDefault="00950313"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0B90CDF0" w14:textId="77777777" w:rsidR="00DA09BA" w:rsidRPr="008E59E8"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8E59E8">
        <w:rPr>
          <w:rFonts w:ascii="Times New Roman" w:eastAsia="Times New Roman" w:hAnsi="Times New Roman" w:cs="Times New Roman"/>
          <w:b/>
          <w:color w:val="000000"/>
          <w:sz w:val="24"/>
          <w:szCs w:val="24"/>
          <w:shd w:val="clear" w:color="auto" w:fill="FFFFFF"/>
          <w:lang w:val="en-GB" w:eastAsia="de-DE"/>
        </w:rPr>
        <w:t xml:space="preserve">V. MiFID II and its New Conflicts of Interest Regime </w:t>
      </w:r>
    </w:p>
    <w:p w14:paraId="4D3927DC"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24BAFB30" w14:textId="20322994" w:rsidR="00DA09BA" w:rsidRPr="008E59E8"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8E59E8">
        <w:rPr>
          <w:rFonts w:ascii="Times New Roman" w:eastAsia="Times New Roman" w:hAnsi="Times New Roman" w:cs="Times New Roman"/>
          <w:b/>
          <w:color w:val="000000"/>
          <w:sz w:val="24"/>
          <w:szCs w:val="24"/>
          <w:shd w:val="clear" w:color="auto" w:fill="FFFFFF"/>
          <w:lang w:val="en-GB" w:eastAsia="de-DE"/>
        </w:rPr>
        <w:t xml:space="preserve">1. </w:t>
      </w:r>
      <w:r w:rsidR="005674D7">
        <w:rPr>
          <w:rFonts w:ascii="Times New Roman" w:eastAsia="Times New Roman" w:hAnsi="Times New Roman" w:cs="Times New Roman"/>
          <w:b/>
          <w:color w:val="000000"/>
          <w:sz w:val="24"/>
          <w:szCs w:val="24"/>
          <w:shd w:val="clear" w:color="auto" w:fill="FFFFFF"/>
          <w:lang w:val="en-GB" w:eastAsia="de-DE"/>
        </w:rPr>
        <w:t>Introduction</w:t>
      </w:r>
    </w:p>
    <w:p w14:paraId="3443393B" w14:textId="77777777" w:rsidR="00DA09BA" w:rsidRDefault="00DA09BA" w:rsidP="00DA09BA">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p>
    <w:p w14:paraId="11F74947" w14:textId="3F71E7E2" w:rsidR="00DA09BA" w:rsidRDefault="00DA09BA" w:rsidP="00DA09BA">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MiFID II – as was already the case of the Investment Services Directive of 1993 and of MiFID I of 2004 – does not stop at stating the basic rule that the investment services provider has to take the interest of the investor(s) as the sole guide-line of her actions.</w:t>
      </w:r>
      <w:r w:rsidR="00CE6A10">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t>Conversely, it formulates also a nuanced and extensive regime of preventive rules – avoiding as far as possible conflicts of interest</w:t>
      </w:r>
      <w:r w:rsidR="00950313">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which might endanger compliance with the basic rule named above, or at least neutralizing the effects of conflicts of interest as much possible. Thus, the regime is peculiar in installing additional compliance mechanisms. In the following, the three most important or most paradigmatic ones are taken up in turn.</w:t>
      </w:r>
      <w:r w:rsidR="002852FA">
        <w:rPr>
          <w:rFonts w:ascii="Times New Roman" w:eastAsia="Times New Roman" w:hAnsi="Times New Roman" w:cs="Times New Roman"/>
          <w:color w:val="000000"/>
          <w:sz w:val="24"/>
          <w:szCs w:val="24"/>
          <w:shd w:val="clear" w:color="auto" w:fill="FFFFFF"/>
          <w:lang w:val="en-GB" w:eastAsia="de-DE"/>
        </w:rPr>
        <w:t xml:space="preserve"> They are: </w:t>
      </w:r>
      <w:r w:rsidR="005674D7">
        <w:rPr>
          <w:rFonts w:ascii="Times New Roman" w:eastAsia="Times New Roman" w:hAnsi="Times New Roman" w:cs="Times New Roman"/>
          <w:color w:val="000000"/>
          <w:sz w:val="24"/>
          <w:szCs w:val="24"/>
          <w:shd w:val="clear" w:color="auto" w:fill="FFFFFF"/>
          <w:lang w:val="en-GB" w:eastAsia="de-DE"/>
        </w:rPr>
        <w:t>organizational duties; the disclosure of remaining conflicts of interest; the regime on fees (inducements).</w:t>
      </w:r>
      <w:r>
        <w:rPr>
          <w:rFonts w:ascii="Times New Roman" w:eastAsia="Times New Roman" w:hAnsi="Times New Roman" w:cs="Times New Roman"/>
          <w:color w:val="000000"/>
          <w:sz w:val="24"/>
          <w:szCs w:val="24"/>
          <w:shd w:val="clear" w:color="auto" w:fill="FFFFFF"/>
          <w:lang w:val="en-GB" w:eastAsia="de-DE"/>
        </w:rPr>
        <w:t xml:space="preserve"> The first one is paradigmatic and far-reaching because it does not only impose on investment firms duties with respect to the client, but prescribes as well how to arrange the internal organization with a view to reach this </w:t>
      </w:r>
      <w:r>
        <w:rPr>
          <w:rFonts w:ascii="Times New Roman" w:eastAsia="Times New Roman" w:hAnsi="Times New Roman" w:cs="Times New Roman"/>
          <w:color w:val="000000"/>
          <w:sz w:val="24"/>
          <w:szCs w:val="24"/>
          <w:shd w:val="clear" w:color="auto" w:fill="FFFFFF"/>
          <w:lang w:val="en-GB" w:eastAsia="de-DE"/>
        </w:rPr>
        <w:lastRenderedPageBreak/>
        <w:t xml:space="preserve">goal in the relationship with the client. This is </w:t>
      </w:r>
      <w:r w:rsidR="00950313">
        <w:rPr>
          <w:rFonts w:ascii="Times New Roman" w:eastAsia="Times New Roman" w:hAnsi="Times New Roman" w:cs="Times New Roman"/>
          <w:color w:val="000000"/>
          <w:sz w:val="24"/>
          <w:szCs w:val="24"/>
          <w:shd w:val="clear" w:color="auto" w:fill="FFFFFF"/>
          <w:lang w:val="en-GB" w:eastAsia="de-DE"/>
        </w:rPr>
        <w:t xml:space="preserve">a </w:t>
      </w:r>
      <w:r>
        <w:rPr>
          <w:rFonts w:ascii="Times New Roman" w:eastAsia="Times New Roman" w:hAnsi="Times New Roman" w:cs="Times New Roman"/>
          <w:color w:val="000000"/>
          <w:sz w:val="24"/>
          <w:szCs w:val="24"/>
          <w:shd w:val="clear" w:color="auto" w:fill="FFFFFF"/>
          <w:lang w:val="en-GB" w:eastAsia="de-DE"/>
        </w:rPr>
        <w:t>rather unique and far-reaching measure. To put it differently, investment services was at least the first area where such regulatory inroad into the board’s competence to shape the organization of the company autonomously became strikingly apparent. The second instrument is paradigmatic because it applies the regulatory approach which is certainly dominant in financial services and was discussed in the last section mainly – the information model – to the particular case of conflicts of interest. The third mechanism is particularly important: It has lead to the bulk of case law in Germany, the EU’s strongest economy, and at the same time has triggered the most thoroughly discussed ‘gold plating’ practice in the UK, the EU’s largest financial centre</w:t>
      </w:r>
      <w:r w:rsidR="00950313">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which in most cases exercises a particularly high influence namely on regulation in financial services.</w:t>
      </w:r>
    </w:p>
    <w:p w14:paraId="56C2EF26"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0F5D7427" w14:textId="77777777" w:rsidR="00DA09BA" w:rsidRPr="008E59E8"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8E59E8">
        <w:rPr>
          <w:rFonts w:ascii="Times New Roman" w:eastAsia="Times New Roman" w:hAnsi="Times New Roman" w:cs="Times New Roman"/>
          <w:b/>
          <w:color w:val="000000"/>
          <w:sz w:val="24"/>
          <w:szCs w:val="24"/>
          <w:shd w:val="clear" w:color="auto" w:fill="FFFFFF"/>
          <w:lang w:val="en-GB" w:eastAsia="de-DE"/>
        </w:rPr>
        <w:t>2. First Example: Far-Reaching Organizational Duties</w:t>
      </w:r>
    </w:p>
    <w:p w14:paraId="0F3DAC80"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4C0F640B" w14:textId="6BF9F3A2" w:rsidR="00DA09BA" w:rsidRPr="008E59E8" w:rsidRDefault="00DA09BA" w:rsidP="00DA09BA">
      <w:pPr>
        <w:jc w:val="both"/>
        <w:rPr>
          <w:lang w:val="en-US"/>
        </w:rPr>
      </w:pPr>
      <w:r>
        <w:rPr>
          <w:rFonts w:ascii="Times New Roman" w:eastAsia="Times New Roman" w:hAnsi="Times New Roman" w:cs="Times New Roman"/>
          <w:color w:val="000000"/>
          <w:sz w:val="24"/>
          <w:szCs w:val="24"/>
          <w:shd w:val="clear" w:color="auto" w:fill="FFFFFF"/>
          <w:lang w:val="en-GB" w:eastAsia="de-DE"/>
        </w:rPr>
        <w:t xml:space="preserve">MiFID II – as was already the case of the Investment Services Directive of 1993 and of MiFID I of 2004 – imposes a duty to </w:t>
      </w:r>
      <w:r w:rsidR="00693262">
        <w:rPr>
          <w:rFonts w:ascii="Times New Roman" w:eastAsia="Times New Roman" w:hAnsi="Times New Roman" w:cs="Times New Roman"/>
          <w:color w:val="000000"/>
          <w:sz w:val="24"/>
          <w:szCs w:val="24"/>
          <w:shd w:val="clear" w:color="auto" w:fill="FFFFFF"/>
          <w:lang w:val="en-GB" w:eastAsia="de-DE"/>
        </w:rPr>
        <w:t>take “all reasonable steps designed to prevent conflicts of interest … from adversely affecting the interest of its clients”</w:t>
      </w:r>
      <w:r>
        <w:rPr>
          <w:rFonts w:ascii="Times New Roman" w:eastAsia="Times New Roman" w:hAnsi="Times New Roman" w:cs="Times New Roman"/>
          <w:color w:val="000000"/>
          <w:sz w:val="24"/>
          <w:szCs w:val="24"/>
          <w:shd w:val="clear" w:color="auto" w:fill="FFFFFF"/>
          <w:lang w:val="en-GB" w:eastAsia="de-DE"/>
        </w:rPr>
        <w:t xml:space="preserve"> (</w:t>
      </w:r>
      <w:r w:rsidR="00950313">
        <w:rPr>
          <w:rFonts w:ascii="Times New Roman" w:eastAsia="Times New Roman" w:hAnsi="Times New Roman" w:cs="Times New Roman"/>
          <w:color w:val="000000"/>
          <w:sz w:val="24"/>
          <w:szCs w:val="24"/>
          <w:shd w:val="clear" w:color="auto" w:fill="FFFFFF"/>
          <w:lang w:val="en-GB" w:eastAsia="de-DE"/>
        </w:rPr>
        <w:t>Art</w:t>
      </w:r>
      <w:r>
        <w:rPr>
          <w:rFonts w:ascii="Times New Roman" w:eastAsia="Times New Roman" w:hAnsi="Times New Roman" w:cs="Times New Roman"/>
          <w:color w:val="000000"/>
          <w:sz w:val="24"/>
          <w:szCs w:val="24"/>
          <w:shd w:val="clear" w:color="auto" w:fill="FFFFFF"/>
          <w:lang w:val="en-GB" w:eastAsia="de-DE"/>
        </w:rPr>
        <w:t>. 16</w:t>
      </w:r>
      <w:r w:rsidR="00693262">
        <w:rPr>
          <w:rFonts w:ascii="Times New Roman" w:eastAsia="Times New Roman" w:hAnsi="Times New Roman" w:cs="Times New Roman"/>
          <w:color w:val="000000"/>
          <w:sz w:val="24"/>
          <w:szCs w:val="24"/>
          <w:shd w:val="clear" w:color="auto" w:fill="FFFFFF"/>
          <w:lang w:val="en-GB" w:eastAsia="de-DE"/>
        </w:rPr>
        <w:t>(3)</w:t>
      </w:r>
      <w:r>
        <w:rPr>
          <w:rFonts w:ascii="Times New Roman" w:eastAsia="Times New Roman" w:hAnsi="Times New Roman" w:cs="Times New Roman"/>
          <w:color w:val="000000"/>
          <w:sz w:val="24"/>
          <w:szCs w:val="24"/>
          <w:shd w:val="clear" w:color="auto" w:fill="FFFFFF"/>
          <w:lang w:val="en-GB" w:eastAsia="de-DE"/>
        </w:rPr>
        <w:t xml:space="preserve"> MiFID II</w:t>
      </w:r>
      <w:r w:rsidR="00693262">
        <w:rPr>
          <w:rFonts w:ascii="Times New Roman" w:eastAsia="Times New Roman" w:hAnsi="Times New Roman" w:cs="Times New Roman"/>
          <w:color w:val="000000"/>
          <w:sz w:val="24"/>
          <w:szCs w:val="24"/>
          <w:shd w:val="clear" w:color="auto" w:fill="FFFFFF"/>
          <w:lang w:val="en-GB" w:eastAsia="de-DE"/>
        </w:rPr>
        <w:t xml:space="preserve"> – but note that Art. 16 establishes </w:t>
      </w:r>
      <w:r>
        <w:rPr>
          <w:rFonts w:ascii="Times New Roman" w:eastAsia="Times New Roman" w:hAnsi="Times New Roman" w:cs="Times New Roman"/>
          <w:color w:val="000000"/>
          <w:sz w:val="24"/>
          <w:szCs w:val="24"/>
          <w:shd w:val="clear" w:color="auto" w:fill="FFFFFF"/>
          <w:lang w:val="en-GB" w:eastAsia="de-DE"/>
        </w:rPr>
        <w:t xml:space="preserve">many other very specific organizational requirements). </w:t>
      </w:r>
      <w:r w:rsidR="00693262">
        <w:rPr>
          <w:rFonts w:ascii="Times New Roman" w:eastAsia="Times New Roman" w:hAnsi="Times New Roman" w:cs="Times New Roman"/>
          <w:color w:val="000000"/>
          <w:sz w:val="24"/>
          <w:szCs w:val="24"/>
          <w:shd w:val="clear" w:color="auto" w:fill="FFFFFF"/>
          <w:lang w:val="en-GB" w:eastAsia="de-DE"/>
        </w:rPr>
        <w:t xml:space="preserve">The main interpretative problem is specifying when “all reasonable measures” have been taken. Following Art. 24(1) and the reference to “the interest of clients” in Art. 16(3) – and consistently with our understanding of allocative efficiency – this </w:t>
      </w:r>
      <w:r>
        <w:rPr>
          <w:rFonts w:ascii="Times New Roman" w:eastAsia="Times New Roman" w:hAnsi="Times New Roman" w:cs="Times New Roman"/>
          <w:color w:val="000000"/>
          <w:sz w:val="24"/>
          <w:szCs w:val="24"/>
          <w:shd w:val="clear" w:color="auto" w:fill="FFFFFF"/>
          <w:lang w:val="en-GB" w:eastAsia="de-DE"/>
        </w:rPr>
        <w:t>duty stops where more organizational arrangements would be more costly than the benefit</w:t>
      </w:r>
      <w:r w:rsidR="00693262">
        <w:rPr>
          <w:rFonts w:ascii="Times New Roman" w:eastAsia="Times New Roman" w:hAnsi="Times New Roman" w:cs="Times New Roman"/>
          <w:color w:val="000000"/>
          <w:sz w:val="24"/>
          <w:szCs w:val="24"/>
          <w:shd w:val="clear" w:color="auto" w:fill="FFFFFF"/>
          <w:lang w:val="en-GB" w:eastAsia="de-DE"/>
        </w:rPr>
        <w:t xml:space="preserve"> for “the interests of its clients”</w:t>
      </w:r>
      <w:r>
        <w:rPr>
          <w:rFonts w:ascii="Times New Roman" w:eastAsia="Times New Roman" w:hAnsi="Times New Roman" w:cs="Times New Roman"/>
          <w:color w:val="000000"/>
          <w:sz w:val="24"/>
          <w:szCs w:val="24"/>
          <w:shd w:val="clear" w:color="auto" w:fill="FFFFFF"/>
          <w:lang w:val="en-GB" w:eastAsia="de-DE"/>
        </w:rPr>
        <w:t xml:space="preserve"> of such additional measures. Thus the starting point of the regime on conflict of interests is a company structure solution – because disclosure is seen not to be efficient enough: avoidance of conflicts of interest starts earlier and in a strikingly </w:t>
      </w:r>
      <w:r w:rsidR="0053661F">
        <w:rPr>
          <w:rFonts w:ascii="Times New Roman" w:eastAsia="Times New Roman" w:hAnsi="Times New Roman" w:cs="Times New Roman"/>
          <w:color w:val="000000"/>
          <w:sz w:val="24"/>
          <w:szCs w:val="24"/>
          <w:shd w:val="clear" w:color="auto" w:fill="FFFFFF"/>
          <w:lang w:val="en-GB" w:eastAsia="de-DE"/>
        </w:rPr>
        <w:t>regulatory</w:t>
      </w:r>
      <w:r>
        <w:rPr>
          <w:rFonts w:ascii="Times New Roman" w:eastAsia="Times New Roman" w:hAnsi="Times New Roman" w:cs="Times New Roman"/>
          <w:color w:val="000000"/>
          <w:sz w:val="24"/>
          <w:szCs w:val="24"/>
          <w:shd w:val="clear" w:color="auto" w:fill="FFFFFF"/>
          <w:lang w:val="en-GB" w:eastAsia="de-DE"/>
        </w:rPr>
        <w:t xml:space="preserve"> way: </w:t>
      </w:r>
      <w:r w:rsidRPr="008E59E8">
        <w:rPr>
          <w:rFonts w:ascii="Times New Roman" w:hAnsi="Times New Roman" w:cs="Times New Roman"/>
          <w:sz w:val="24"/>
          <w:szCs w:val="24"/>
          <w:lang w:val="en-US"/>
        </w:rPr>
        <w:t>Under general company law, these aspects would rather be subject of duties of proper organization imposed on the board, but whose arrangement as such and certainly whose details would be left to the board’s discretion.</w:t>
      </w:r>
      <w:r w:rsidRPr="008E59E8">
        <w:rPr>
          <w:rStyle w:val="Rimandonotaapidipagina"/>
          <w:rFonts w:ascii="Times New Roman" w:hAnsi="Times New Roman" w:cs="Times New Roman"/>
          <w:sz w:val="24"/>
          <w:szCs w:val="24"/>
          <w:lang w:val="en-US"/>
        </w:rPr>
        <w:footnoteReference w:id="102"/>
      </w:r>
      <w:r>
        <w:rPr>
          <w:rFonts w:ascii="Times New Roman" w:hAnsi="Times New Roman" w:cs="Times New Roman"/>
          <w:sz w:val="24"/>
          <w:szCs w:val="24"/>
          <w:lang w:val="en-US"/>
        </w:rPr>
        <w:t xml:space="preserve"> Thus, Chinese walls – segregating certain departments of banks, namely trading and credit departments from those giving investment advice – is a mandatory requirement and was already under MiFID I.</w:t>
      </w:r>
      <w:r w:rsidR="006932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w:t>
      </w:r>
      <w:r w:rsidR="00950313">
        <w:rPr>
          <w:rFonts w:ascii="Times New Roman" w:hAnsi="Times New Roman" w:cs="Times New Roman"/>
          <w:sz w:val="24"/>
          <w:szCs w:val="24"/>
          <w:lang w:val="en-US"/>
        </w:rPr>
        <w:t>one</w:t>
      </w:r>
      <w:r>
        <w:rPr>
          <w:rFonts w:ascii="Times New Roman" w:hAnsi="Times New Roman" w:cs="Times New Roman"/>
          <w:sz w:val="24"/>
          <w:szCs w:val="24"/>
          <w:lang w:val="en-US"/>
        </w:rPr>
        <w:t xml:space="preserve"> hand, beyond some core prerequisites prescribed specifically, there is only the scope of all endeavors fixed – to minimize</w:t>
      </w:r>
      <w:r w:rsidR="00693262">
        <w:rPr>
          <w:rFonts w:ascii="Times New Roman" w:hAnsi="Times New Roman" w:cs="Times New Roman"/>
          <w:sz w:val="24"/>
          <w:szCs w:val="24"/>
          <w:lang w:val="en-US"/>
        </w:rPr>
        <w:t xml:space="preserve"> the agency costs caused by</w:t>
      </w:r>
      <w:r>
        <w:rPr>
          <w:rFonts w:ascii="Times New Roman" w:hAnsi="Times New Roman" w:cs="Times New Roman"/>
          <w:sz w:val="24"/>
          <w:szCs w:val="24"/>
          <w:lang w:val="en-US"/>
        </w:rPr>
        <w:t xml:space="preserve"> conflicts of interest via organizational measures – while on the other hand, banks are invited to start their </w:t>
      </w:r>
      <w:r w:rsidRPr="00E40747">
        <w:rPr>
          <w:rFonts w:ascii="Times New Roman" w:hAnsi="Times New Roman" w:cs="Times New Roman"/>
          <w:sz w:val="24"/>
          <w:szCs w:val="24"/>
          <w:lang w:val="en-US"/>
        </w:rPr>
        <w:t>own discovery of the best organization structure.</w:t>
      </w:r>
      <w:r w:rsidRPr="008E59E8">
        <w:rPr>
          <w:rStyle w:val="Rimandonotaapidipagina"/>
          <w:rFonts w:ascii="Times New Roman" w:hAnsi="Times New Roman" w:cs="Times New Roman"/>
          <w:sz w:val="24"/>
          <w:szCs w:val="24"/>
          <w:lang w:val="en-US"/>
        </w:rPr>
        <w:footnoteReference w:id="103"/>
      </w:r>
      <w:r w:rsidRPr="00E40747">
        <w:rPr>
          <w:rFonts w:ascii="Times New Roman" w:hAnsi="Times New Roman" w:cs="Times New Roman"/>
          <w:sz w:val="24"/>
          <w:szCs w:val="24"/>
          <w:lang w:val="en-US"/>
        </w:rPr>
        <w:t xml:space="preserve"> Despite the flexibility give</w:t>
      </w:r>
      <w:r>
        <w:rPr>
          <w:rFonts w:ascii="Times New Roman" w:hAnsi="Times New Roman" w:cs="Times New Roman"/>
          <w:sz w:val="24"/>
          <w:szCs w:val="24"/>
          <w:lang w:val="en-US"/>
        </w:rPr>
        <w:t>n</w:t>
      </w:r>
      <w:r w:rsidRPr="00E40747">
        <w:rPr>
          <w:rFonts w:ascii="Times New Roman" w:hAnsi="Times New Roman" w:cs="Times New Roman"/>
          <w:sz w:val="24"/>
          <w:szCs w:val="24"/>
          <w:lang w:val="en-US"/>
        </w:rPr>
        <w:t xml:space="preserve">, the main thrust is clear: </w:t>
      </w:r>
      <w:r w:rsidRPr="008E59E8">
        <w:rPr>
          <w:rFonts w:ascii="Times New Roman" w:hAnsi="Times New Roman" w:cs="Times New Roman"/>
          <w:sz w:val="24"/>
          <w:szCs w:val="24"/>
          <w:lang w:val="en-US"/>
        </w:rPr>
        <w:t xml:space="preserve">Since conflicts of interest raise the mentioned problems of fairness, efficiency, and cognitive limitations on the one hand, and since the mere duty to act in the client’s best interest does not seem sufficient to exhort providers to do so in fact, financial services regulation makes specific provisions concerning the governance and organizational structure of the company. These provisions erect the first line of defense. The overall scope is client welfare – and the client envisaged is </w:t>
      </w:r>
      <w:r>
        <w:rPr>
          <w:rFonts w:ascii="Times New Roman" w:hAnsi="Times New Roman" w:cs="Times New Roman"/>
          <w:sz w:val="24"/>
          <w:szCs w:val="24"/>
          <w:lang w:val="en-US"/>
        </w:rPr>
        <w:t xml:space="preserve">primarily </w:t>
      </w:r>
      <w:r w:rsidRPr="008E59E8">
        <w:rPr>
          <w:rFonts w:ascii="Times New Roman" w:hAnsi="Times New Roman" w:cs="Times New Roman"/>
          <w:sz w:val="24"/>
          <w:szCs w:val="24"/>
          <w:lang w:val="en-US"/>
        </w:rPr>
        <w:t xml:space="preserve">the one (group) who could not be sufficiently warned by mere disclosure </w:t>
      </w:r>
      <w:r>
        <w:rPr>
          <w:rFonts w:ascii="Times New Roman" w:hAnsi="Times New Roman" w:cs="Times New Roman"/>
          <w:sz w:val="24"/>
          <w:szCs w:val="24"/>
          <w:lang w:val="en-US"/>
        </w:rPr>
        <w:t>rules nor</w:t>
      </w:r>
      <w:r w:rsidRPr="008E59E8">
        <w:rPr>
          <w:rFonts w:ascii="Times New Roman" w:hAnsi="Times New Roman" w:cs="Times New Roman"/>
          <w:sz w:val="24"/>
          <w:szCs w:val="24"/>
          <w:lang w:val="en-US"/>
        </w:rPr>
        <w:t xml:space="preserve"> ask the right questions to sufficiently assess the risk of conflicts of interest and act accordingly.</w:t>
      </w:r>
      <w:r w:rsidR="0053661F">
        <w:rPr>
          <w:rFonts w:ascii="Times New Roman" w:hAnsi="Times New Roman" w:cs="Times New Roman"/>
          <w:sz w:val="24"/>
          <w:szCs w:val="24"/>
          <w:lang w:val="en-US"/>
        </w:rPr>
        <w:t xml:space="preserve"> The symmetry with the structure of consumer and shareholder policies seen in section III. is self-evident.</w:t>
      </w:r>
    </w:p>
    <w:p w14:paraId="057DE705"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4A14694E" w14:textId="77777777" w:rsidR="00DA09BA" w:rsidRPr="008E59E8"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8E59E8">
        <w:rPr>
          <w:rFonts w:ascii="Times New Roman" w:eastAsia="Times New Roman" w:hAnsi="Times New Roman" w:cs="Times New Roman"/>
          <w:b/>
          <w:color w:val="000000"/>
          <w:sz w:val="24"/>
          <w:szCs w:val="24"/>
          <w:shd w:val="clear" w:color="auto" w:fill="FFFFFF"/>
          <w:lang w:val="en-GB" w:eastAsia="de-DE"/>
        </w:rPr>
        <w:t>3. Second Example: The Duty to Disclose Remaining Conflicts of Interest</w:t>
      </w:r>
    </w:p>
    <w:p w14:paraId="0C18C1E9"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2CD3C2B1" w14:textId="6F0484E9" w:rsidR="00DA09BA" w:rsidRPr="00745ED8" w:rsidRDefault="00DA09BA"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Whenever organizational schemes do not reach as far as eliminating the source of conflicts of interest, MiFID II imposes a duty at least to disclose the conflict of interest (</w:t>
      </w:r>
      <w:r w:rsidR="00E32225">
        <w:rPr>
          <w:rFonts w:ascii="Times New Roman" w:eastAsia="Times New Roman" w:hAnsi="Times New Roman" w:cs="Times New Roman"/>
          <w:color w:val="000000"/>
          <w:sz w:val="24"/>
          <w:szCs w:val="24"/>
          <w:shd w:val="clear" w:color="auto" w:fill="FFFFFF"/>
          <w:lang w:val="en-GB" w:eastAsia="de-DE"/>
        </w:rPr>
        <w:t>Art</w:t>
      </w:r>
      <w:r>
        <w:rPr>
          <w:rFonts w:ascii="Times New Roman" w:eastAsia="Times New Roman" w:hAnsi="Times New Roman" w:cs="Times New Roman"/>
          <w:color w:val="000000"/>
          <w:sz w:val="24"/>
          <w:szCs w:val="24"/>
          <w:shd w:val="clear" w:color="auto" w:fill="FFFFFF"/>
          <w:lang w:val="en-GB" w:eastAsia="de-DE"/>
        </w:rPr>
        <w:t xml:space="preserve">. 23(2) MiFID II) – as was already the case of the Investment Services Directive of 1993 and of MiFID I of 2004. In this way, while the preventive (and to some extent </w:t>
      </w:r>
      <w:r w:rsidR="0053661F">
        <w:rPr>
          <w:rFonts w:ascii="Times New Roman" w:eastAsia="Times New Roman" w:hAnsi="Times New Roman" w:cs="Times New Roman"/>
          <w:color w:val="000000"/>
          <w:sz w:val="24"/>
          <w:szCs w:val="24"/>
          <w:shd w:val="clear" w:color="auto" w:fill="FFFFFF"/>
          <w:lang w:val="en-GB" w:eastAsia="de-DE"/>
        </w:rPr>
        <w:t>regulatory</w:t>
      </w:r>
      <w:r>
        <w:rPr>
          <w:rFonts w:ascii="Times New Roman" w:eastAsia="Times New Roman" w:hAnsi="Times New Roman" w:cs="Times New Roman"/>
          <w:color w:val="000000"/>
          <w:sz w:val="24"/>
          <w:szCs w:val="24"/>
          <w:shd w:val="clear" w:color="auto" w:fill="FFFFFF"/>
          <w:lang w:val="en-GB" w:eastAsia="de-DE"/>
        </w:rPr>
        <w:t xml:space="preserve">) scheme of organizational safeguards comes first, it is not pushed beyond limits of the </w:t>
      </w:r>
      <w:r w:rsidRPr="00D16FF0">
        <w:rPr>
          <w:rFonts w:ascii="Times New Roman" w:eastAsia="Times New Roman" w:hAnsi="Times New Roman" w:cs="Times New Roman"/>
          <w:color w:val="000000"/>
          <w:sz w:val="24"/>
          <w:szCs w:val="24"/>
          <w:shd w:val="clear" w:color="auto" w:fill="FFFFFF"/>
          <w:lang w:val="en-GB" w:eastAsia="de-DE"/>
        </w:rPr>
        <w:t>reasonable</w:t>
      </w:r>
      <w:r w:rsidRPr="008E59E8">
        <w:rPr>
          <w:rStyle w:val="Rimandonotaapidipagina"/>
          <w:rFonts w:ascii="Times New Roman" w:hAnsi="Times New Roman" w:cs="Times New Roman"/>
          <w:lang w:val="en-US"/>
        </w:rPr>
        <w:footnoteReference w:id="104"/>
      </w:r>
      <w:r w:rsidRPr="00D16FF0">
        <w:rPr>
          <w:rFonts w:ascii="Times New Roman" w:eastAsia="Times New Roman" w:hAnsi="Times New Roman" w:cs="Times New Roman"/>
          <w:color w:val="000000"/>
          <w:sz w:val="24"/>
          <w:szCs w:val="24"/>
          <w:shd w:val="clear" w:color="auto" w:fill="FFFFFF"/>
          <w:lang w:val="en-GB" w:eastAsia="de-DE"/>
        </w:rPr>
        <w:t xml:space="preserve"> and</w:t>
      </w:r>
      <w:r>
        <w:rPr>
          <w:rFonts w:ascii="Times New Roman" w:eastAsia="Times New Roman" w:hAnsi="Times New Roman" w:cs="Times New Roman"/>
          <w:color w:val="000000"/>
          <w:sz w:val="24"/>
          <w:szCs w:val="24"/>
          <w:shd w:val="clear" w:color="auto" w:fill="FFFFFF"/>
          <w:lang w:val="en-GB" w:eastAsia="de-DE"/>
        </w:rPr>
        <w:t xml:space="preserve"> the remainder of risk of conflicts of interest is entrusted to the typical information model – based primarily on an assumption of rational information retrieval. Even the information model, however, can be enriched by elements based on insight from behavioural sciences and economics. As has been said, more than half of the investors seem to believe that investment advice is typically given on a fully independent basis. Besides information and warning of the client – to be aware of potential conflicts of interest and their potential impact –, the scheme is also aimed at disciplining </w:t>
      </w:r>
      <w:r w:rsidRPr="008E59E8">
        <w:rPr>
          <w:rFonts w:ascii="Times New Roman" w:hAnsi="Times New Roman" w:cs="Times New Roman"/>
          <w:sz w:val="24"/>
          <w:szCs w:val="24"/>
          <w:lang w:val="en-US"/>
        </w:rPr>
        <w:t xml:space="preserve">providers so that commissions </w:t>
      </w:r>
      <w:r>
        <w:rPr>
          <w:rFonts w:ascii="Times New Roman" w:hAnsi="Times New Roman" w:cs="Times New Roman"/>
          <w:sz w:val="24"/>
          <w:szCs w:val="24"/>
          <w:lang w:val="en-US"/>
        </w:rPr>
        <w:t xml:space="preserve">and other sources of conflicts of interest </w:t>
      </w:r>
      <w:r w:rsidRPr="008E59E8">
        <w:rPr>
          <w:rFonts w:ascii="Times New Roman" w:hAnsi="Times New Roman" w:cs="Times New Roman"/>
          <w:sz w:val="24"/>
          <w:szCs w:val="24"/>
          <w:lang w:val="en-US"/>
        </w:rPr>
        <w:t>do not lead to biased advice but rather incentivize information seeking and selection of efficient investment instruments.</w:t>
      </w:r>
      <w:r w:rsidRPr="008E59E8">
        <w:rPr>
          <w:rStyle w:val="Rimandonotaapidipagina"/>
          <w:rFonts w:ascii="Times New Roman" w:hAnsi="Times New Roman" w:cs="Times New Roman"/>
          <w:sz w:val="24"/>
          <w:szCs w:val="24"/>
          <w:lang w:val="en-US"/>
        </w:rPr>
        <w:footnoteReference w:id="105"/>
      </w:r>
    </w:p>
    <w:p w14:paraId="52E0B8DF" w14:textId="604FDEE5" w:rsidR="00DA09BA" w:rsidRPr="000C0495" w:rsidRDefault="00DA09BA" w:rsidP="00DA09BA">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This is the background of </w:t>
      </w:r>
      <w:r w:rsidR="00E32225">
        <w:rPr>
          <w:rFonts w:ascii="Times New Roman" w:eastAsia="Times New Roman" w:hAnsi="Times New Roman" w:cs="Times New Roman"/>
          <w:color w:val="000000"/>
          <w:sz w:val="24"/>
          <w:szCs w:val="24"/>
          <w:shd w:val="clear" w:color="auto" w:fill="FFFFFF"/>
          <w:lang w:val="en-GB" w:eastAsia="de-DE"/>
        </w:rPr>
        <w:t xml:space="preserve">the </w:t>
      </w:r>
      <w:r>
        <w:rPr>
          <w:rFonts w:ascii="Times New Roman" w:eastAsia="Times New Roman" w:hAnsi="Times New Roman" w:cs="Times New Roman"/>
          <w:color w:val="000000"/>
          <w:sz w:val="24"/>
          <w:szCs w:val="24"/>
          <w:shd w:val="clear" w:color="auto" w:fill="FFFFFF"/>
          <w:lang w:val="en-GB" w:eastAsia="de-DE"/>
        </w:rPr>
        <w:t>new design of the rule: Different from what its predecessors ruled, it describes this duty very specifically. As a starting point, Art</w:t>
      </w:r>
      <w:r w:rsidR="00E32225">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23(2) MiFID II requires that </w:t>
      </w:r>
      <w:r w:rsidR="00E32225">
        <w:rPr>
          <w:rFonts w:ascii="Times New Roman" w:eastAsia="Times New Roman" w:hAnsi="Times New Roman" w:cs="Times New Roman"/>
          <w:color w:val="000000"/>
          <w:sz w:val="24"/>
          <w:szCs w:val="24"/>
          <w:shd w:val="clear" w:color="auto" w:fill="FFFFFF"/>
          <w:lang w:val="en-GB" w:eastAsia="de-DE"/>
        </w:rPr>
        <w:t>“</w:t>
      </w:r>
      <w:r w:rsidRPr="008E59E8">
        <w:rPr>
          <w:rFonts w:ascii="Times New Roman" w:hAnsi="Times New Roman" w:cs="Times New Roman"/>
          <w:sz w:val="24"/>
          <w:szCs w:val="24"/>
          <w:lang w:val="en-US"/>
        </w:rPr>
        <w:t>the general nature and/or sources of conflicts</w:t>
      </w:r>
      <w:r w:rsidRPr="00B43253">
        <w:rPr>
          <w:rFonts w:ascii="Times New Roman" w:hAnsi="Times New Roman" w:cs="Times New Roman"/>
          <w:sz w:val="24"/>
          <w:szCs w:val="24"/>
          <w:lang w:val="en-US"/>
        </w:rPr>
        <w:t xml:space="preserve"> of interest</w:t>
      </w:r>
      <w:r w:rsidR="00E32225">
        <w:rPr>
          <w:rFonts w:ascii="Times New Roman" w:hAnsi="Times New Roman" w:cs="Times New Roman"/>
          <w:sz w:val="24"/>
          <w:szCs w:val="24"/>
          <w:lang w:val="en-US"/>
        </w:rPr>
        <w:t>”</w:t>
      </w:r>
      <w:r w:rsidRPr="008E59E8">
        <w:rPr>
          <w:rFonts w:ascii="Times New Roman" w:hAnsi="Times New Roman" w:cs="Times New Roman"/>
          <w:sz w:val="24"/>
          <w:szCs w:val="24"/>
          <w:lang w:val="en-US"/>
        </w:rPr>
        <w:t xml:space="preserve"> must be disclosed</w:t>
      </w:r>
      <w:r>
        <w:rPr>
          <w:rFonts w:ascii="Times New Roman" w:hAnsi="Times New Roman" w:cs="Times New Roman"/>
          <w:sz w:val="24"/>
          <w:szCs w:val="24"/>
          <w:lang w:val="en-US"/>
        </w:rPr>
        <w:t xml:space="preserve"> (just as </w:t>
      </w:r>
      <w:r w:rsidR="00E32225">
        <w:rPr>
          <w:rFonts w:ascii="Times New Roman" w:hAnsi="Times New Roman" w:cs="Times New Roman"/>
          <w:sz w:val="24"/>
          <w:szCs w:val="24"/>
          <w:lang w:val="en-US"/>
        </w:rPr>
        <w:t>Art. 18</w:t>
      </w:r>
      <w:r>
        <w:rPr>
          <w:rFonts w:ascii="Times New Roman" w:hAnsi="Times New Roman" w:cs="Times New Roman"/>
          <w:sz w:val="24"/>
          <w:szCs w:val="24"/>
          <w:lang w:val="en-US"/>
        </w:rPr>
        <w:t>(2) MiFID I already rule</w:t>
      </w:r>
      <w:r w:rsidR="00E32225">
        <w:rPr>
          <w:rFonts w:ascii="Times New Roman" w:hAnsi="Times New Roman" w:cs="Times New Roman"/>
          <w:sz w:val="24"/>
          <w:szCs w:val="24"/>
          <w:lang w:val="en-US"/>
        </w:rPr>
        <w:t>d</w:t>
      </w:r>
      <w:r>
        <w:rPr>
          <w:rFonts w:ascii="Times New Roman" w:hAnsi="Times New Roman" w:cs="Times New Roman"/>
          <w:sz w:val="24"/>
          <w:szCs w:val="24"/>
          <w:lang w:val="en-US"/>
        </w:rPr>
        <w:t>). Different from its predecessors, however, Art. 23(3)(b) MiFID</w:t>
      </w:r>
      <w:r w:rsidR="00D8267E">
        <w:rPr>
          <w:rFonts w:ascii="Times New Roman" w:hAnsi="Times New Roman" w:cs="Times New Roman"/>
          <w:sz w:val="24"/>
          <w:szCs w:val="24"/>
          <w:lang w:val="en-US"/>
        </w:rPr>
        <w:t xml:space="preserve"> II</w:t>
      </w:r>
      <w:r>
        <w:rPr>
          <w:rFonts w:ascii="Times New Roman" w:hAnsi="Times New Roman" w:cs="Times New Roman"/>
          <w:sz w:val="24"/>
          <w:szCs w:val="24"/>
          <w:lang w:val="en-US"/>
        </w:rPr>
        <w:t xml:space="preserve"> adds some detail</w:t>
      </w:r>
      <w:r w:rsidR="00E32225">
        <w:rPr>
          <w:rFonts w:ascii="Times New Roman" w:hAnsi="Times New Roman" w:cs="Times New Roman"/>
          <w:sz w:val="24"/>
          <w:szCs w:val="24"/>
          <w:lang w:val="en-US"/>
        </w:rPr>
        <w:t>s</w:t>
      </w:r>
      <w:r>
        <w:rPr>
          <w:rFonts w:ascii="Times New Roman" w:hAnsi="Times New Roman" w:cs="Times New Roman"/>
          <w:sz w:val="24"/>
          <w:szCs w:val="24"/>
          <w:lang w:val="en-US"/>
        </w:rPr>
        <w:t xml:space="preserve"> and requires </w:t>
      </w:r>
      <w:r w:rsidRPr="00B43253">
        <w:rPr>
          <w:rFonts w:ascii="Times New Roman" w:hAnsi="Times New Roman" w:cs="Times New Roman"/>
          <w:sz w:val="24"/>
          <w:szCs w:val="24"/>
          <w:lang w:val="en-US"/>
        </w:rPr>
        <w:t xml:space="preserve">that the disclosure shall </w:t>
      </w:r>
      <w:r w:rsidR="00E32225">
        <w:rPr>
          <w:rFonts w:ascii="Times New Roman" w:hAnsi="Times New Roman" w:cs="Times New Roman"/>
          <w:sz w:val="24"/>
          <w:szCs w:val="24"/>
          <w:lang w:val="en-US"/>
        </w:rPr>
        <w:t>“</w:t>
      </w:r>
      <w:r w:rsidRPr="008E59E8">
        <w:rPr>
          <w:rFonts w:ascii="Times New Roman" w:hAnsi="Times New Roman" w:cs="Times New Roman"/>
          <w:sz w:val="24"/>
          <w:szCs w:val="24"/>
          <w:lang w:val="en-US"/>
        </w:rPr>
        <w:t>include sufficient detail, taking into account the nature of the client</w:t>
      </w:r>
      <w:r w:rsidR="00E32225">
        <w:rPr>
          <w:rFonts w:ascii="Times New Roman" w:hAnsi="Times New Roman" w:cs="Times New Roman"/>
          <w:sz w:val="24"/>
          <w:szCs w:val="24"/>
          <w:lang w:val="en-US"/>
        </w:rPr>
        <w:t>”</w:t>
      </w:r>
      <w:r w:rsidRPr="008E59E8">
        <w:rPr>
          <w:rFonts w:ascii="Times New Roman" w:hAnsi="Times New Roman" w:cs="Times New Roman"/>
          <w:sz w:val="24"/>
          <w:szCs w:val="24"/>
          <w:lang w:val="en-US"/>
        </w:rPr>
        <w:t>.</w:t>
      </w:r>
      <w:r w:rsidRPr="008E59E8">
        <w:rPr>
          <w:rStyle w:val="Rimandonotaapidipagina"/>
          <w:rFonts w:ascii="Times New Roman" w:hAnsi="Times New Roman" w:cs="Times New Roman"/>
          <w:sz w:val="24"/>
          <w:szCs w:val="24"/>
          <w:lang w:val="en-US"/>
        </w:rPr>
        <w:footnoteReference w:id="106"/>
      </w:r>
      <w:r>
        <w:rPr>
          <w:rFonts w:ascii="Times New Roman" w:hAnsi="Times New Roman" w:cs="Times New Roman"/>
          <w:sz w:val="24"/>
          <w:szCs w:val="24"/>
          <w:lang w:val="en-US"/>
        </w:rPr>
        <w:t xml:space="preserve"> Indeed</w:t>
      </w:r>
      <w:r w:rsidR="00E32225">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Pr="00167115">
        <w:rPr>
          <w:rFonts w:ascii="Times New Roman" w:hAnsi="Times New Roman" w:cs="Times New Roman"/>
          <w:sz w:val="24"/>
          <w:szCs w:val="24"/>
          <w:lang w:val="en-US"/>
        </w:rPr>
        <w:t xml:space="preserve">he </w:t>
      </w:r>
      <w:r>
        <w:rPr>
          <w:rFonts w:ascii="Times New Roman" w:hAnsi="Times New Roman" w:cs="Times New Roman"/>
          <w:sz w:val="24"/>
          <w:szCs w:val="24"/>
          <w:lang w:val="en-US"/>
        </w:rPr>
        <w:t>main question seems to come</w:t>
      </w:r>
      <w:r w:rsidRPr="00167115">
        <w:rPr>
          <w:rFonts w:ascii="Times New Roman" w:hAnsi="Times New Roman" w:cs="Times New Roman"/>
          <w:sz w:val="24"/>
          <w:szCs w:val="24"/>
          <w:lang w:val="en-US"/>
        </w:rPr>
        <w:t xml:space="preserve"> down to whether the </w:t>
      </w:r>
      <w:r w:rsidR="00E32225">
        <w:rPr>
          <w:rFonts w:ascii="Times New Roman" w:hAnsi="Times New Roman" w:cs="Times New Roman"/>
          <w:sz w:val="24"/>
          <w:szCs w:val="24"/>
          <w:lang w:val="en-US"/>
        </w:rPr>
        <w:t>“</w:t>
      </w:r>
      <w:r w:rsidRPr="00167115">
        <w:rPr>
          <w:rFonts w:ascii="Times New Roman" w:hAnsi="Times New Roman" w:cs="Times New Roman"/>
          <w:sz w:val="24"/>
          <w:szCs w:val="24"/>
          <w:lang w:val="en-US"/>
        </w:rPr>
        <w:t>general nature of the conflict of interest</w:t>
      </w:r>
      <w:r w:rsidR="00E32225">
        <w:rPr>
          <w:rFonts w:ascii="Times New Roman" w:hAnsi="Times New Roman" w:cs="Times New Roman"/>
          <w:sz w:val="24"/>
          <w:szCs w:val="24"/>
          <w:lang w:val="en-US"/>
        </w:rPr>
        <w:t>”</w:t>
      </w:r>
      <w:r w:rsidRPr="00167115">
        <w:rPr>
          <w:rFonts w:ascii="Times New Roman" w:hAnsi="Times New Roman" w:cs="Times New Roman"/>
          <w:sz w:val="24"/>
          <w:szCs w:val="24"/>
          <w:lang w:val="en-US"/>
        </w:rPr>
        <w:t xml:space="preserve"> is to be portrayed in m</w:t>
      </w:r>
      <w:r>
        <w:rPr>
          <w:rFonts w:ascii="Times New Roman" w:hAnsi="Times New Roman" w:cs="Times New Roman"/>
          <w:sz w:val="24"/>
          <w:szCs w:val="24"/>
          <w:lang w:val="en-US"/>
        </w:rPr>
        <w:t>ore abstract or in more concrete terms. Indeed, disclosure need</w:t>
      </w:r>
      <w:r w:rsidR="00E32225">
        <w:rPr>
          <w:rFonts w:ascii="Times New Roman" w:hAnsi="Times New Roman" w:cs="Times New Roman"/>
          <w:sz w:val="24"/>
          <w:szCs w:val="24"/>
          <w:lang w:val="en-US"/>
        </w:rPr>
        <w:t>s</w:t>
      </w:r>
      <w:r>
        <w:rPr>
          <w:rFonts w:ascii="Times New Roman" w:hAnsi="Times New Roman" w:cs="Times New Roman"/>
          <w:sz w:val="24"/>
          <w:szCs w:val="24"/>
          <w:lang w:val="en-US"/>
        </w:rPr>
        <w:t xml:space="preserve"> not only </w:t>
      </w:r>
      <w:r w:rsidR="00E32225">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clarify, first, that conflicts of interest play an important role, but also, second, which specific risks of biased advice </w:t>
      </w:r>
      <w:r w:rsidR="00E32225">
        <w:rPr>
          <w:rFonts w:ascii="Times New Roman" w:hAnsi="Times New Roman" w:cs="Times New Roman"/>
          <w:sz w:val="24"/>
          <w:szCs w:val="24"/>
          <w:lang w:val="en-US"/>
        </w:rPr>
        <w:t>they create</w:t>
      </w:r>
      <w:r>
        <w:rPr>
          <w:rFonts w:ascii="Times New Roman" w:hAnsi="Times New Roman" w:cs="Times New Roman"/>
          <w:sz w:val="24"/>
          <w:szCs w:val="24"/>
          <w:lang w:val="en-US"/>
        </w:rPr>
        <w:t>. Under MiFID I, the question most disputed was whether the concrete amount of fees the investment firm gained on one advice and from an alternative one had to be disclosed.</w:t>
      </w:r>
      <w:r>
        <w:rPr>
          <w:rStyle w:val="Rimandonotaapidipagina"/>
          <w:szCs w:val="24"/>
          <w:lang w:val="en-US"/>
        </w:rPr>
        <w:footnoteReference w:id="107"/>
      </w:r>
      <w:r>
        <w:rPr>
          <w:rFonts w:ascii="Times New Roman" w:hAnsi="Times New Roman" w:cs="Times New Roman"/>
          <w:sz w:val="24"/>
          <w:szCs w:val="24"/>
          <w:lang w:val="en-US"/>
        </w:rPr>
        <w:t xml:space="preserve"> As the detail was added and as specifying the concrete functioning of the conflict of interest adds both awareness on the side of the provider and on the side of the client (the warning is more consistent), the most convincing interpretation would seem to be that any detail which the </w:t>
      </w:r>
      <w:r w:rsidR="00E32225">
        <w:rPr>
          <w:rFonts w:ascii="Times New Roman" w:hAnsi="Times New Roman" w:cs="Times New Roman"/>
          <w:sz w:val="24"/>
          <w:szCs w:val="24"/>
          <w:lang w:val="en-US"/>
        </w:rPr>
        <w:t>concrete client can reasonably ‘</w:t>
      </w:r>
      <w:r>
        <w:rPr>
          <w:rFonts w:ascii="Times New Roman" w:hAnsi="Times New Roman" w:cs="Times New Roman"/>
          <w:sz w:val="24"/>
          <w:szCs w:val="24"/>
          <w:lang w:val="en-US"/>
        </w:rPr>
        <w:t xml:space="preserve">digest’ and from which she can profit in her assessment is to be handed over. Namely a warning on any major difference in fees gained should be understandable to </w:t>
      </w:r>
      <w:r w:rsidRPr="008E59E8">
        <w:rPr>
          <w:rFonts w:ascii="Times New Roman" w:hAnsi="Times New Roman" w:cs="Times New Roman"/>
          <w:i/>
          <w:sz w:val="24"/>
          <w:szCs w:val="24"/>
          <w:lang w:val="en-US"/>
        </w:rPr>
        <w:t>all</w:t>
      </w:r>
      <w:r>
        <w:rPr>
          <w:rFonts w:ascii="Times New Roman" w:hAnsi="Times New Roman" w:cs="Times New Roman"/>
          <w:sz w:val="24"/>
          <w:szCs w:val="24"/>
          <w:lang w:val="en-US"/>
        </w:rPr>
        <w:t xml:space="preserve"> clients. Again, the interest of the clients is the sole guide-line of action. Finally, the new and more specific wording can also be related to a duty to take into account the biases of typical groups of clients (‘nature of client’) and take measures of debiasing. Again, the whole design is clearly focused on </w:t>
      </w:r>
      <w:r>
        <w:rPr>
          <w:rFonts w:ascii="Times New Roman" w:eastAsia="Times New Roman" w:hAnsi="Times New Roman" w:cs="Times New Roman"/>
          <w:color w:val="000000"/>
          <w:sz w:val="24"/>
          <w:szCs w:val="24"/>
          <w:shd w:val="clear" w:color="auto" w:fill="FFFFFF"/>
          <w:lang w:val="en-GB" w:eastAsia="de-DE"/>
        </w:rPr>
        <w:t>furthering the interest of the investor(s)</w:t>
      </w:r>
      <w:r w:rsidR="00B76D61">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t>
      </w:r>
      <w:r w:rsidR="00B76D61">
        <w:rPr>
          <w:rFonts w:ascii="Times New Roman" w:eastAsia="Times New Roman" w:hAnsi="Times New Roman" w:cs="Times New Roman"/>
          <w:color w:val="000000"/>
          <w:sz w:val="24"/>
          <w:szCs w:val="24"/>
          <w:shd w:val="clear" w:color="auto" w:fill="FFFFFF"/>
          <w:lang w:val="en-GB" w:eastAsia="de-DE"/>
        </w:rPr>
        <w:t>A</w:t>
      </w:r>
      <w:r>
        <w:rPr>
          <w:rFonts w:ascii="Times New Roman" w:eastAsia="Times New Roman" w:hAnsi="Times New Roman" w:cs="Times New Roman"/>
          <w:color w:val="000000"/>
          <w:sz w:val="24"/>
          <w:szCs w:val="24"/>
          <w:shd w:val="clear" w:color="auto" w:fill="FFFFFF"/>
          <w:lang w:val="en-GB" w:eastAsia="de-DE"/>
        </w:rPr>
        <w:t>nd</w:t>
      </w:r>
      <w:r w:rsidR="00B76D61">
        <w:rPr>
          <w:rFonts w:ascii="Times New Roman" w:eastAsia="Times New Roman" w:hAnsi="Times New Roman" w:cs="Times New Roman"/>
          <w:color w:val="000000"/>
          <w:sz w:val="24"/>
          <w:szCs w:val="24"/>
          <w:shd w:val="clear" w:color="auto" w:fill="FFFFFF"/>
          <w:lang w:val="en-GB" w:eastAsia="de-DE"/>
        </w:rPr>
        <w:t>, again,</w:t>
      </w:r>
      <w:r>
        <w:rPr>
          <w:rFonts w:ascii="Times New Roman" w:eastAsia="Times New Roman" w:hAnsi="Times New Roman" w:cs="Times New Roman"/>
          <w:color w:val="000000"/>
          <w:sz w:val="24"/>
          <w:szCs w:val="24"/>
          <w:shd w:val="clear" w:color="auto" w:fill="FFFFFF"/>
          <w:lang w:val="en-GB" w:eastAsia="de-DE"/>
        </w:rPr>
        <w:t xml:space="preserve"> the main problem </w:t>
      </w:r>
      <w:r>
        <w:rPr>
          <w:rFonts w:ascii="Times New Roman" w:eastAsia="Times New Roman" w:hAnsi="Times New Roman" w:cs="Times New Roman"/>
          <w:color w:val="000000"/>
          <w:sz w:val="24"/>
          <w:szCs w:val="24"/>
          <w:shd w:val="clear" w:color="auto" w:fill="FFFFFF"/>
          <w:lang w:val="en-GB" w:eastAsia="de-DE"/>
        </w:rPr>
        <w:lastRenderedPageBreak/>
        <w:t>with this goal is not the clash with the interests of the service provider, but the fact that not all investors have the same interests (heterogeneity of the group of investors): They have different information needs and different cognitive biases.</w:t>
      </w:r>
    </w:p>
    <w:p w14:paraId="1221222C" w14:textId="77777777" w:rsidR="00DA09BA" w:rsidRDefault="00DA09BA" w:rsidP="00DA09B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1C28BFB0" w14:textId="77777777" w:rsidR="00DA09BA" w:rsidRPr="008E59E8" w:rsidRDefault="00DA09BA" w:rsidP="00DA09B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8E59E8">
        <w:rPr>
          <w:rFonts w:ascii="Times New Roman" w:eastAsia="Times New Roman" w:hAnsi="Times New Roman" w:cs="Times New Roman"/>
          <w:b/>
          <w:color w:val="000000"/>
          <w:sz w:val="24"/>
          <w:szCs w:val="24"/>
          <w:shd w:val="clear" w:color="auto" w:fill="FFFFFF"/>
          <w:lang w:val="en-GB" w:eastAsia="de-DE"/>
        </w:rPr>
        <w:t>4. Third Example: The Regime on Fees (Inducements)</w:t>
      </w:r>
    </w:p>
    <w:p w14:paraId="624E8446" w14:textId="77777777" w:rsidR="00DA09BA" w:rsidRPr="008E59E8" w:rsidRDefault="00DA09BA" w:rsidP="00DA09BA">
      <w:pPr>
        <w:spacing w:after="0" w:line="240" w:lineRule="auto"/>
        <w:jc w:val="both"/>
        <w:rPr>
          <w:rFonts w:ascii="Times New Roman" w:eastAsia="Times New Roman" w:hAnsi="Times New Roman" w:cs="Times New Roman"/>
          <w:sz w:val="24"/>
          <w:szCs w:val="24"/>
          <w:shd w:val="clear" w:color="auto" w:fill="FFFFFF"/>
          <w:lang w:val="en-GB" w:eastAsia="de-DE"/>
        </w:rPr>
      </w:pPr>
    </w:p>
    <w:p w14:paraId="79355A40" w14:textId="1B6BD09D" w:rsidR="00DA09BA" w:rsidRDefault="00DA09BA"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As has been said already, the regime on fees</w:t>
      </w:r>
      <w:r w:rsidR="00B76D61">
        <w:rPr>
          <w:rFonts w:ascii="Times New Roman" w:eastAsia="Times New Roman" w:hAnsi="Times New Roman" w:cs="Times New Roman"/>
          <w:color w:val="000000"/>
          <w:sz w:val="24"/>
          <w:szCs w:val="24"/>
          <w:shd w:val="clear" w:color="auto" w:fill="FFFFFF"/>
          <w:lang w:val="en-GB" w:eastAsia="de-DE"/>
        </w:rPr>
        <w:t xml:space="preserve"> (the</w:t>
      </w:r>
      <w:r>
        <w:rPr>
          <w:rFonts w:ascii="Times New Roman" w:eastAsia="Times New Roman" w:hAnsi="Times New Roman" w:cs="Times New Roman"/>
          <w:color w:val="000000"/>
          <w:sz w:val="24"/>
          <w:szCs w:val="24"/>
          <w:shd w:val="clear" w:color="auto" w:fill="FFFFFF"/>
          <w:lang w:val="en-GB" w:eastAsia="de-DE"/>
        </w:rPr>
        <w:t xml:space="preserve"> so-called inducements</w:t>
      </w:r>
      <w:r w:rsidR="00B76D61">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is of particular practical importance: It has lead to </w:t>
      </w:r>
      <w:r w:rsidR="00B76D61">
        <w:rPr>
          <w:rFonts w:ascii="Times New Roman" w:eastAsia="Times New Roman" w:hAnsi="Times New Roman" w:cs="Times New Roman"/>
          <w:color w:val="000000"/>
          <w:sz w:val="24"/>
          <w:szCs w:val="24"/>
          <w:shd w:val="clear" w:color="auto" w:fill="FFFFFF"/>
          <w:lang w:val="en-GB" w:eastAsia="de-DE"/>
        </w:rPr>
        <w:t>the bulk of case law in Germany</w:t>
      </w:r>
      <w:r>
        <w:rPr>
          <w:rFonts w:ascii="Times New Roman" w:eastAsia="Times New Roman" w:hAnsi="Times New Roman" w:cs="Times New Roman"/>
          <w:color w:val="000000"/>
          <w:sz w:val="24"/>
          <w:szCs w:val="24"/>
          <w:shd w:val="clear" w:color="auto" w:fill="FFFFFF"/>
          <w:lang w:val="en-GB" w:eastAsia="de-DE"/>
        </w:rPr>
        <w:t xml:space="preserve"> and</w:t>
      </w:r>
      <w:r w:rsidR="00B76D61">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at the same time, it has triggered the most thoroughly discussed ‘gold plating’ practice in the UK</w:t>
      </w:r>
      <w:r w:rsidR="00B76D61">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t xml:space="preserve">with its particularly high influence mainly on regulation in financial services – now in MiFID II also with respect to inducements: </w:t>
      </w:r>
      <w:r w:rsidRPr="008E59E8">
        <w:rPr>
          <w:rFonts w:ascii="Times New Roman" w:hAnsi="Times New Roman" w:cs="Times New Roman"/>
          <w:sz w:val="24"/>
          <w:szCs w:val="24"/>
          <w:lang w:val="en-US"/>
        </w:rPr>
        <w:t xml:space="preserve">The cases of the UK (Retail Distribution Review banning commissions) and of Germany (§ 31d </w:t>
      </w:r>
      <w:r w:rsidRPr="00B01A71">
        <w:rPr>
          <w:rFonts w:ascii="Times New Roman" w:hAnsi="Times New Roman" w:cs="Times New Roman"/>
          <w:i/>
          <w:sz w:val="24"/>
          <w:szCs w:val="24"/>
          <w:lang w:val="en-US"/>
        </w:rPr>
        <w:t>Wertpapier</w:t>
      </w:r>
      <w:r w:rsidRPr="008E59E8">
        <w:rPr>
          <w:rFonts w:ascii="Times New Roman" w:hAnsi="Times New Roman" w:cs="Times New Roman"/>
          <w:i/>
          <w:sz w:val="24"/>
          <w:szCs w:val="24"/>
          <w:lang w:val="en-US"/>
        </w:rPr>
        <w:t>handelsgesetz [WpHG</w:t>
      </w:r>
      <w:r w:rsidRPr="001547E0">
        <w:rPr>
          <w:rFonts w:ascii="Times New Roman" w:hAnsi="Times New Roman" w:cs="Times New Roman"/>
          <w:i/>
          <w:sz w:val="24"/>
          <w:szCs w:val="24"/>
          <w:lang w:val="en-US"/>
        </w:rPr>
        <w:t>]</w:t>
      </w:r>
      <w:r w:rsidRPr="008E59E8">
        <w:rPr>
          <w:rFonts w:ascii="Times New Roman" w:hAnsi="Times New Roman" w:cs="Times New Roman"/>
          <w:sz w:val="24"/>
          <w:szCs w:val="24"/>
          <w:lang w:val="en-US"/>
        </w:rPr>
        <w:t>) are to the point.</w:t>
      </w:r>
      <w:r w:rsidRPr="008E59E8">
        <w:rPr>
          <w:rStyle w:val="Rimandonotaapidipagina"/>
          <w:rFonts w:ascii="Times New Roman" w:hAnsi="Times New Roman" w:cs="Times New Roman"/>
          <w:sz w:val="24"/>
          <w:szCs w:val="24"/>
          <w:lang w:val="en-US"/>
        </w:rPr>
        <w:footnoteReference w:id="108"/>
      </w:r>
      <w:r>
        <w:rPr>
          <w:szCs w:val="24"/>
          <w:lang w:val="en-US"/>
        </w:rPr>
        <w:t xml:space="preserve"> </w:t>
      </w:r>
      <w:r>
        <w:rPr>
          <w:rFonts w:ascii="Times New Roman" w:eastAsia="Times New Roman" w:hAnsi="Times New Roman" w:cs="Times New Roman"/>
          <w:color w:val="000000"/>
          <w:sz w:val="24"/>
          <w:szCs w:val="24"/>
          <w:shd w:val="clear" w:color="auto" w:fill="FFFFFF"/>
          <w:lang w:val="en-GB" w:eastAsia="de-DE"/>
        </w:rPr>
        <w:t>Indeed</w:t>
      </w:r>
      <w:r w:rsidR="00B76D61">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t>
      </w:r>
      <w:r w:rsidR="00B76D61">
        <w:rPr>
          <w:rFonts w:ascii="Times New Roman" w:eastAsia="Times New Roman" w:hAnsi="Times New Roman" w:cs="Times New Roman"/>
          <w:color w:val="000000"/>
          <w:sz w:val="24"/>
          <w:szCs w:val="24"/>
          <w:shd w:val="clear" w:color="auto" w:fill="FFFFFF"/>
          <w:lang w:val="en-GB" w:eastAsia="de-DE"/>
        </w:rPr>
        <w:t>inducements is one of the areas</w:t>
      </w:r>
      <w:r>
        <w:rPr>
          <w:rFonts w:ascii="Times New Roman" w:eastAsia="Times New Roman" w:hAnsi="Times New Roman" w:cs="Times New Roman"/>
          <w:color w:val="000000"/>
          <w:sz w:val="24"/>
          <w:szCs w:val="24"/>
          <w:shd w:val="clear" w:color="auto" w:fill="FFFFFF"/>
          <w:lang w:val="en-GB" w:eastAsia="de-DE"/>
        </w:rPr>
        <w:t xml:space="preserve"> where MiFID II reaches well beyond all predecessors. While the traditional scheme contained only one approach, the new regime adds a second one. The problem of inducements and their obvious influence on conflicts of interest</w:t>
      </w:r>
      <w:r w:rsidR="00B76D61">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is thus now tackled with a market structure approach: leaving the choice of the regime to the parties, one regime being such that investment firms still can earn on income from sources such as making profits on products conceived by the investment firm itself or subsidiaries, certain kick-back fees handed over to them by their transaction partners in execution (but not all!) etc., the other regime, however, aiming at complete neutrality of the intermediary, excluding all typical conflicts of interest and having the client pay in a completely transparent way all the intermediary service. The details of the regime – even though highly interesting from a financial services and functions of intermediaries perspective – would go beyond the scope of this </w:t>
      </w:r>
      <w:r w:rsidR="005873F2">
        <w:rPr>
          <w:rFonts w:ascii="Times New Roman" w:eastAsia="Times New Roman" w:hAnsi="Times New Roman" w:cs="Times New Roman"/>
          <w:color w:val="000000"/>
          <w:sz w:val="24"/>
          <w:szCs w:val="24"/>
          <w:shd w:val="clear" w:color="auto" w:fill="FFFFFF"/>
          <w:lang w:val="en-GB" w:eastAsia="de-DE"/>
        </w:rPr>
        <w:t>article</w:t>
      </w:r>
      <w:r>
        <w:rPr>
          <w:rFonts w:ascii="Times New Roman" w:eastAsia="Times New Roman" w:hAnsi="Times New Roman" w:cs="Times New Roman"/>
          <w:color w:val="000000"/>
          <w:sz w:val="24"/>
          <w:szCs w:val="24"/>
          <w:shd w:val="clear" w:color="auto" w:fill="FFFFFF"/>
          <w:lang w:val="en-GB" w:eastAsia="de-DE"/>
        </w:rPr>
        <w:t>.</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109"/>
      </w:r>
    </w:p>
    <w:p w14:paraId="0ED44DE0" w14:textId="77777777" w:rsidR="00DA09BA" w:rsidRDefault="00DA09BA" w:rsidP="00DA09BA">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What is paradigmatic though is the split into two alternatives. It has been substantially criticized because paying very substantial fees for the – then neutral! – service is often not what private investors choose, and therefore markets of independent investment advisors did not or not sufficiently develop for these groups of investors. The assessment of the introduction of a new regime should, however, also focus on considerations following from what has been explained: While the regime in its entirety is aimed at fostering investors’ interests, some parts are primarily aimed at fostering the interests of one group, others the interests of another group primarily. Therefore, the overall regime has to be assessed in its entirety for the most important groups of investors (with interests diverging from each other). Moreover, adding a layer of protection which theoretically has substantial advantages (more neutral advice), but leaving it to parties to opt for this alternative model – namely those parties who typically are very sophisticated – would scarcely seem to be an erroneous strategy (even if success is not complete, but only partial). Therefore one can summarize that the market structure approach chosen for the question of inducements leaves intact a decently functioning (old) regime, but adds as well an approach which, for some groups of investors and under certain conditions, would seem to have substantial theoretical advantages and leaves it to the market (in this case a rather well informed market with sophisticated players) to opt for the second solution where appropriate. Thus the new regime would seem to install a discovery mechanism on the two alternatives (with a good deal of stickiness of the old scheme). </w:t>
      </w:r>
    </w:p>
    <w:p w14:paraId="6604AEB5" w14:textId="77777777" w:rsidR="002852FA" w:rsidRDefault="002852FA"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725FB45A" w14:textId="016041AB" w:rsidR="005674D7" w:rsidRDefault="005674D7"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r>
        <w:rPr>
          <w:rFonts w:ascii="Times New Roman" w:eastAsia="Times New Roman" w:hAnsi="Times New Roman" w:cs="Times New Roman"/>
          <w:b/>
          <w:color w:val="000000"/>
          <w:sz w:val="24"/>
          <w:szCs w:val="24"/>
          <w:shd w:val="clear" w:color="auto" w:fill="FFFFFF"/>
          <w:lang w:val="en-GB" w:eastAsia="de-DE"/>
        </w:rPr>
        <w:t xml:space="preserve">5. </w:t>
      </w:r>
      <w:r w:rsidR="00D7441A">
        <w:rPr>
          <w:rFonts w:ascii="Times New Roman" w:eastAsia="Times New Roman" w:hAnsi="Times New Roman" w:cs="Times New Roman"/>
          <w:b/>
          <w:color w:val="000000"/>
          <w:sz w:val="24"/>
          <w:szCs w:val="24"/>
          <w:shd w:val="clear" w:color="auto" w:fill="FFFFFF"/>
          <w:lang w:val="en-GB" w:eastAsia="de-DE"/>
        </w:rPr>
        <w:t>Conflicts of Interest Regulation</w:t>
      </w:r>
      <w:r w:rsidRPr="008E59E8">
        <w:rPr>
          <w:rFonts w:ascii="Times New Roman" w:eastAsia="Times New Roman" w:hAnsi="Times New Roman" w:cs="Times New Roman"/>
          <w:b/>
          <w:color w:val="000000"/>
          <w:sz w:val="24"/>
          <w:szCs w:val="24"/>
          <w:shd w:val="clear" w:color="auto" w:fill="FFFFFF"/>
          <w:lang w:val="en-GB" w:eastAsia="de-DE"/>
        </w:rPr>
        <w:t xml:space="preserve"> </w:t>
      </w:r>
      <w:r>
        <w:rPr>
          <w:rFonts w:ascii="Times New Roman" w:eastAsia="Times New Roman" w:hAnsi="Times New Roman" w:cs="Times New Roman"/>
          <w:b/>
          <w:color w:val="000000"/>
          <w:sz w:val="24"/>
          <w:szCs w:val="24"/>
          <w:shd w:val="clear" w:color="auto" w:fill="FFFFFF"/>
          <w:lang w:val="en-GB" w:eastAsia="de-DE"/>
        </w:rPr>
        <w:t>With</w:t>
      </w:r>
      <w:r w:rsidR="00D7441A">
        <w:rPr>
          <w:rFonts w:ascii="Times New Roman" w:eastAsia="Times New Roman" w:hAnsi="Times New Roman" w:cs="Times New Roman"/>
          <w:b/>
          <w:color w:val="000000"/>
          <w:sz w:val="24"/>
          <w:szCs w:val="24"/>
          <w:shd w:val="clear" w:color="auto" w:fill="FFFFFF"/>
          <w:lang w:val="en-GB" w:eastAsia="de-DE"/>
        </w:rPr>
        <w:t>in</w:t>
      </w:r>
      <w:r w:rsidRPr="008E59E8">
        <w:rPr>
          <w:rFonts w:ascii="Times New Roman" w:eastAsia="Times New Roman" w:hAnsi="Times New Roman" w:cs="Times New Roman"/>
          <w:b/>
          <w:color w:val="000000"/>
          <w:sz w:val="24"/>
          <w:szCs w:val="24"/>
          <w:shd w:val="clear" w:color="auto" w:fill="FFFFFF"/>
          <w:lang w:val="en-GB" w:eastAsia="de-DE"/>
        </w:rPr>
        <w:t xml:space="preserve"> </w:t>
      </w:r>
      <w:r>
        <w:rPr>
          <w:rFonts w:ascii="Times New Roman" w:eastAsia="Times New Roman" w:hAnsi="Times New Roman" w:cs="Times New Roman"/>
          <w:b/>
          <w:color w:val="000000"/>
          <w:sz w:val="24"/>
          <w:szCs w:val="24"/>
          <w:shd w:val="clear" w:color="auto" w:fill="FFFFFF"/>
          <w:lang w:val="en-GB" w:eastAsia="de-DE"/>
        </w:rPr>
        <w:t>T</w:t>
      </w:r>
      <w:r w:rsidRPr="008E59E8">
        <w:rPr>
          <w:rFonts w:ascii="Times New Roman" w:eastAsia="Times New Roman" w:hAnsi="Times New Roman" w:cs="Times New Roman"/>
          <w:b/>
          <w:color w:val="000000"/>
          <w:sz w:val="24"/>
          <w:szCs w:val="24"/>
          <w:shd w:val="clear" w:color="auto" w:fill="FFFFFF"/>
          <w:lang w:val="en-GB" w:eastAsia="de-DE"/>
        </w:rPr>
        <w:t xml:space="preserve">he </w:t>
      </w:r>
      <w:r>
        <w:rPr>
          <w:rFonts w:ascii="Times New Roman" w:eastAsia="Times New Roman" w:hAnsi="Times New Roman" w:cs="Times New Roman"/>
          <w:b/>
          <w:color w:val="000000"/>
          <w:sz w:val="24"/>
          <w:szCs w:val="24"/>
          <w:shd w:val="clear" w:color="auto" w:fill="FFFFFF"/>
          <w:lang w:val="en-GB" w:eastAsia="de-DE"/>
        </w:rPr>
        <w:t>Principal Multi Agent Framework</w:t>
      </w:r>
    </w:p>
    <w:p w14:paraId="2DE143AE" w14:textId="77777777" w:rsidR="005674D7" w:rsidRDefault="005674D7"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p>
    <w:p w14:paraId="18B77B5B" w14:textId="6F73E427" w:rsidR="005674D7" w:rsidRDefault="005674D7" w:rsidP="001E6435">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From the perspective of the principal multi agent model built in section III., these three tools for the regulation of conflicts of interest are very interesting. </w:t>
      </w:r>
      <w:r w:rsidR="00025E48">
        <w:rPr>
          <w:rFonts w:ascii="Times New Roman" w:eastAsia="Times New Roman" w:hAnsi="Times New Roman" w:cs="Times New Roman"/>
          <w:color w:val="000000"/>
          <w:sz w:val="24"/>
          <w:szCs w:val="24"/>
          <w:shd w:val="clear" w:color="auto" w:fill="FFFFFF"/>
          <w:lang w:val="en-GB" w:eastAsia="de-DE"/>
        </w:rPr>
        <w:t>Organization duties, as seen above, show that the monitoring agent has taken some decisional power away from financial entrepreneurs and exercised it directly. However, the reallocation has not been complete: to some extent, financial entrepreneurial remain in charge of designing the organization structure.</w:t>
      </w:r>
      <w:r w:rsidR="00D7441A">
        <w:rPr>
          <w:rFonts w:ascii="Times New Roman" w:eastAsia="Times New Roman" w:hAnsi="Times New Roman" w:cs="Times New Roman"/>
          <w:color w:val="000000"/>
          <w:sz w:val="24"/>
          <w:szCs w:val="24"/>
          <w:shd w:val="clear" w:color="auto" w:fill="FFFFFF"/>
          <w:lang w:val="en-GB" w:eastAsia="de-DE"/>
        </w:rPr>
        <w:t xml:space="preserve"> This implies that</w:t>
      </w:r>
      <w:r w:rsidR="001E6435">
        <w:rPr>
          <w:rFonts w:ascii="Times New Roman" w:eastAsia="Times New Roman" w:hAnsi="Times New Roman" w:cs="Times New Roman"/>
          <w:color w:val="000000"/>
          <w:sz w:val="24"/>
          <w:szCs w:val="24"/>
          <w:shd w:val="clear" w:color="auto" w:fill="FFFFFF"/>
          <w:lang w:val="en-GB" w:eastAsia="de-DE"/>
        </w:rPr>
        <w:t>, to some extent,</w:t>
      </w:r>
      <w:r w:rsidR="00D7441A">
        <w:rPr>
          <w:rFonts w:ascii="Times New Roman" w:eastAsia="Times New Roman" w:hAnsi="Times New Roman" w:cs="Times New Roman"/>
          <w:color w:val="000000"/>
          <w:sz w:val="24"/>
          <w:szCs w:val="24"/>
          <w:shd w:val="clear" w:color="auto" w:fill="FFFFFF"/>
          <w:lang w:val="en-GB" w:eastAsia="de-DE"/>
        </w:rPr>
        <w:t xml:space="preserve"> the legal system</w:t>
      </w:r>
      <w:r w:rsidR="00F768BF">
        <w:rPr>
          <w:rFonts w:ascii="Times New Roman" w:eastAsia="Times New Roman" w:hAnsi="Times New Roman" w:cs="Times New Roman"/>
          <w:color w:val="000000"/>
          <w:sz w:val="24"/>
          <w:szCs w:val="24"/>
          <w:shd w:val="clear" w:color="auto" w:fill="FFFFFF"/>
          <w:lang w:val="en-GB" w:eastAsia="de-DE"/>
        </w:rPr>
        <w:t xml:space="preserve"> considers </w:t>
      </w:r>
      <w:r w:rsidR="001E6435">
        <w:rPr>
          <w:rFonts w:ascii="Times New Roman" w:eastAsia="Times New Roman" w:hAnsi="Times New Roman" w:cs="Times New Roman"/>
          <w:color w:val="000000"/>
          <w:sz w:val="24"/>
          <w:szCs w:val="24"/>
          <w:shd w:val="clear" w:color="auto" w:fill="FFFFFF"/>
          <w:lang w:val="en-GB" w:eastAsia="de-DE"/>
        </w:rPr>
        <w:t xml:space="preserve">the financial entrepreneur still an efficient consumer agent. The </w:t>
      </w:r>
      <w:r w:rsidR="000738DC">
        <w:rPr>
          <w:rFonts w:ascii="Times New Roman" w:eastAsia="Times New Roman" w:hAnsi="Times New Roman" w:cs="Times New Roman"/>
          <w:color w:val="000000"/>
          <w:sz w:val="24"/>
          <w:szCs w:val="24"/>
          <w:shd w:val="clear" w:color="auto" w:fill="FFFFFF"/>
          <w:lang w:val="en-GB" w:eastAsia="de-DE"/>
        </w:rPr>
        <w:t>resulting regime is thus a mix of two approaches: on the one hand, the legal system makes the aim (minimizing the agency costs of conflicts of interests) explicit and leaves to financial entrepreneurs the task of identifying the best means to that end – like in a no delegation model; on the other hand, the legal system establishes some more detailed requirements – like in the full delegation model</w:t>
      </w:r>
      <w:r w:rsidR="001E6435">
        <w:rPr>
          <w:rFonts w:ascii="Times New Roman" w:eastAsia="Times New Roman" w:hAnsi="Times New Roman" w:cs="Times New Roman"/>
          <w:color w:val="000000"/>
          <w:sz w:val="24"/>
          <w:szCs w:val="24"/>
          <w:shd w:val="clear" w:color="auto" w:fill="FFFFFF"/>
          <w:lang w:val="en-GB" w:eastAsia="de-DE"/>
        </w:rPr>
        <w:t>.</w:t>
      </w:r>
    </w:p>
    <w:p w14:paraId="2CB1BF02" w14:textId="78AE0AFB" w:rsidR="001E6435" w:rsidRDefault="001E6435" w:rsidP="001E6435">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The residual duty to disclose implies that while empowerment is not sufficient, in combination with other tools</w:t>
      </w:r>
      <w:r w:rsidR="000738DC">
        <w:rPr>
          <w:rFonts w:ascii="Times New Roman" w:eastAsia="Times New Roman" w:hAnsi="Times New Roman" w:cs="Times New Roman"/>
          <w:color w:val="000000"/>
          <w:sz w:val="24"/>
          <w:szCs w:val="24"/>
          <w:shd w:val="clear" w:color="auto" w:fill="FFFFFF"/>
          <w:lang w:val="en-GB" w:eastAsia="de-DE"/>
        </w:rPr>
        <w:t>, it</w:t>
      </w:r>
      <w:r>
        <w:rPr>
          <w:rFonts w:ascii="Times New Roman" w:eastAsia="Times New Roman" w:hAnsi="Times New Roman" w:cs="Times New Roman"/>
          <w:color w:val="000000"/>
          <w:sz w:val="24"/>
          <w:szCs w:val="24"/>
          <w:shd w:val="clear" w:color="auto" w:fill="FFFFFF"/>
          <w:lang w:val="en-GB" w:eastAsia="de-DE"/>
        </w:rPr>
        <w:t xml:space="preserve"> is not </w:t>
      </w:r>
      <w:r w:rsidR="000738DC">
        <w:rPr>
          <w:rFonts w:ascii="Times New Roman" w:eastAsia="Times New Roman" w:hAnsi="Times New Roman" w:cs="Times New Roman"/>
          <w:color w:val="000000"/>
          <w:sz w:val="24"/>
          <w:szCs w:val="24"/>
          <w:shd w:val="clear" w:color="auto" w:fill="FFFFFF"/>
          <w:lang w:val="en-GB" w:eastAsia="de-DE"/>
        </w:rPr>
        <w:t xml:space="preserve">considered </w:t>
      </w:r>
      <w:r>
        <w:rPr>
          <w:rFonts w:ascii="Times New Roman" w:eastAsia="Times New Roman" w:hAnsi="Times New Roman" w:cs="Times New Roman"/>
          <w:color w:val="000000"/>
          <w:sz w:val="24"/>
          <w:szCs w:val="24"/>
          <w:shd w:val="clear" w:color="auto" w:fill="FFFFFF"/>
          <w:lang w:val="en-GB" w:eastAsia="de-DE"/>
        </w:rPr>
        <w:t>useless either</w:t>
      </w:r>
      <w:r w:rsidR="000738DC">
        <w:rPr>
          <w:rFonts w:ascii="Times New Roman" w:eastAsia="Times New Roman" w:hAnsi="Times New Roman" w:cs="Times New Roman"/>
          <w:color w:val="000000"/>
          <w:sz w:val="24"/>
          <w:szCs w:val="24"/>
          <w:shd w:val="clear" w:color="auto" w:fill="FFFFFF"/>
          <w:lang w:val="en-GB" w:eastAsia="de-DE"/>
        </w:rPr>
        <w:t xml:space="preserve"> by the EU legislator</w:t>
      </w:r>
      <w:r>
        <w:rPr>
          <w:rFonts w:ascii="Times New Roman" w:eastAsia="Times New Roman" w:hAnsi="Times New Roman" w:cs="Times New Roman"/>
          <w:color w:val="000000"/>
          <w:sz w:val="24"/>
          <w:szCs w:val="24"/>
          <w:shd w:val="clear" w:color="auto" w:fill="FFFFFF"/>
          <w:lang w:val="en-GB" w:eastAsia="de-DE"/>
        </w:rPr>
        <w:t>. The fact that the MiFID II is more detailed is relevant for a level of analysis we do not consider here, namely, the allocation of power in a multilevel legal system like the EU.</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110"/>
      </w:r>
      <w:r>
        <w:rPr>
          <w:rFonts w:ascii="Times New Roman" w:eastAsia="Times New Roman" w:hAnsi="Times New Roman" w:cs="Times New Roman"/>
          <w:color w:val="000000"/>
          <w:sz w:val="24"/>
          <w:szCs w:val="24"/>
          <w:shd w:val="clear" w:color="auto" w:fill="FFFFFF"/>
          <w:lang w:val="en-GB" w:eastAsia="de-DE"/>
        </w:rPr>
        <w:t xml:space="preserve"> </w:t>
      </w:r>
      <w:r w:rsidR="00BD7C02">
        <w:rPr>
          <w:rFonts w:ascii="Times New Roman" w:eastAsia="Times New Roman" w:hAnsi="Times New Roman" w:cs="Times New Roman"/>
          <w:color w:val="000000"/>
          <w:sz w:val="24"/>
          <w:szCs w:val="24"/>
          <w:shd w:val="clear" w:color="auto" w:fill="FFFFFF"/>
          <w:lang w:val="en-GB" w:eastAsia="de-DE"/>
        </w:rPr>
        <w:t xml:space="preserve">What matters the most here is that MiFID II has inverted the normal relation between empowerment and protection in market regulation. In fact, normally, protection is introduced if empowerment is not considered sufficient. In the regulation of conflicts of interests, instead, protection is the basic strategy and when it does not suffice, it is supplemented by disclosure. </w:t>
      </w:r>
    </w:p>
    <w:p w14:paraId="3D835DC0" w14:textId="77777777" w:rsidR="00991376" w:rsidRDefault="00991376" w:rsidP="001E6435">
      <w:pPr>
        <w:spacing w:after="0" w:line="240" w:lineRule="auto"/>
        <w:jc w:val="both"/>
        <w:rPr>
          <w:rFonts w:ascii="Times New Roman" w:eastAsia="Times New Roman" w:hAnsi="Times New Roman" w:cs="Times New Roman"/>
          <w:b/>
          <w:color w:val="000000"/>
          <w:sz w:val="24"/>
          <w:szCs w:val="24"/>
          <w:shd w:val="clear" w:color="auto" w:fill="FFFFFF"/>
          <w:lang w:val="en-GB" w:eastAsia="de-DE"/>
        </w:rPr>
      </w:pPr>
    </w:p>
    <w:p w14:paraId="35EE3A16" w14:textId="77777777" w:rsidR="005674D7" w:rsidRPr="00497A81" w:rsidRDefault="005674D7"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30A54F5B" w14:textId="0EB7D522" w:rsidR="001220B9" w:rsidRPr="00497A81" w:rsidRDefault="001220B9"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497A81">
        <w:rPr>
          <w:rFonts w:ascii="Times New Roman" w:eastAsia="Times New Roman" w:hAnsi="Times New Roman" w:cs="Times New Roman"/>
          <w:b/>
          <w:color w:val="000000"/>
          <w:sz w:val="24"/>
          <w:szCs w:val="24"/>
          <w:shd w:val="clear" w:color="auto" w:fill="FFFFFF"/>
          <w:lang w:val="en-GB" w:eastAsia="de-DE"/>
        </w:rPr>
        <w:t>V</w:t>
      </w:r>
      <w:r w:rsidR="00DA09BA">
        <w:rPr>
          <w:rFonts w:ascii="Times New Roman" w:eastAsia="Times New Roman" w:hAnsi="Times New Roman" w:cs="Times New Roman"/>
          <w:b/>
          <w:color w:val="000000"/>
          <w:sz w:val="24"/>
          <w:szCs w:val="24"/>
          <w:shd w:val="clear" w:color="auto" w:fill="FFFFFF"/>
          <w:lang w:val="en-GB" w:eastAsia="de-DE"/>
        </w:rPr>
        <w:t>I</w:t>
      </w:r>
      <w:r w:rsidRPr="00497A81">
        <w:rPr>
          <w:rFonts w:ascii="Times New Roman" w:eastAsia="Times New Roman" w:hAnsi="Times New Roman" w:cs="Times New Roman"/>
          <w:b/>
          <w:color w:val="000000"/>
          <w:sz w:val="24"/>
          <w:szCs w:val="24"/>
          <w:shd w:val="clear" w:color="auto" w:fill="FFFFFF"/>
          <w:lang w:val="en-GB" w:eastAsia="de-DE"/>
        </w:rPr>
        <w:t xml:space="preserve">. </w:t>
      </w:r>
      <w:r w:rsidR="007E74E3">
        <w:rPr>
          <w:rFonts w:ascii="Times New Roman" w:eastAsia="Times New Roman" w:hAnsi="Times New Roman" w:cs="Times New Roman"/>
          <w:b/>
          <w:color w:val="000000"/>
          <w:sz w:val="24"/>
          <w:szCs w:val="24"/>
          <w:shd w:val="clear" w:color="auto" w:fill="FFFFFF"/>
          <w:lang w:val="en-GB" w:eastAsia="de-DE"/>
        </w:rPr>
        <w:t>Understanding T</w:t>
      </w:r>
      <w:r w:rsidRPr="00497A81">
        <w:rPr>
          <w:rFonts w:ascii="Times New Roman" w:eastAsia="Times New Roman" w:hAnsi="Times New Roman" w:cs="Times New Roman"/>
          <w:b/>
          <w:color w:val="000000"/>
          <w:sz w:val="24"/>
          <w:szCs w:val="24"/>
          <w:shd w:val="clear" w:color="auto" w:fill="FFFFFF"/>
          <w:lang w:val="en-GB" w:eastAsia="de-DE"/>
        </w:rPr>
        <w:t>he Reformed EU Consumer Credit Law</w:t>
      </w:r>
    </w:p>
    <w:p w14:paraId="50E2270E" w14:textId="77777777" w:rsidR="001220B9" w:rsidRPr="00497A81" w:rsidRDefault="001220B9"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3E088CCE" w14:textId="7A3175C9" w:rsidR="00E36E2D" w:rsidRDefault="0020096B"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Credit regulation has undeniably a macro dimension. </w:t>
      </w:r>
      <w:r w:rsidR="007C6EF8">
        <w:rPr>
          <w:rFonts w:ascii="Times New Roman" w:eastAsia="Times New Roman" w:hAnsi="Times New Roman" w:cs="Times New Roman"/>
          <w:color w:val="000000"/>
          <w:sz w:val="24"/>
          <w:szCs w:val="24"/>
          <w:shd w:val="clear" w:color="auto" w:fill="FFFFFF"/>
          <w:lang w:val="en-GB" w:eastAsia="de-DE"/>
        </w:rPr>
        <w:t xml:space="preserve">Credit allows entrepreneurs and consumers to engage in activities that would otherwise be too costly to them. </w:t>
      </w:r>
      <w:r w:rsidR="00082884">
        <w:rPr>
          <w:rFonts w:ascii="Times New Roman" w:eastAsia="Times New Roman" w:hAnsi="Times New Roman" w:cs="Times New Roman"/>
          <w:color w:val="000000"/>
          <w:sz w:val="24"/>
          <w:szCs w:val="24"/>
          <w:shd w:val="clear" w:color="auto" w:fill="FFFFFF"/>
          <w:lang w:val="en-GB" w:eastAsia="de-DE"/>
        </w:rPr>
        <w:t>However, w</w:t>
      </w:r>
      <w:r w:rsidR="00E531E9">
        <w:rPr>
          <w:rFonts w:ascii="Times New Roman" w:eastAsia="Times New Roman" w:hAnsi="Times New Roman" w:cs="Times New Roman"/>
          <w:color w:val="000000"/>
          <w:sz w:val="24"/>
          <w:szCs w:val="24"/>
          <w:shd w:val="clear" w:color="auto" w:fill="FFFFFF"/>
          <w:lang w:val="en-GB" w:eastAsia="de-DE"/>
        </w:rPr>
        <w:t>hen credit is given too easily, the level of defaults becomes unsustainable for creditors and financial stability is endangered. Prudential regulation typically aims at safeguarding the stability of the credit system by imposing a number of institutional and conduct constraint on credit providers.</w:t>
      </w:r>
      <w:r w:rsidR="009563ED">
        <w:rPr>
          <w:rStyle w:val="Rimandonotaapidipagina"/>
          <w:rFonts w:ascii="Times New Roman" w:eastAsia="Times New Roman" w:hAnsi="Times New Roman" w:cs="Times New Roman"/>
          <w:color w:val="000000"/>
          <w:sz w:val="24"/>
          <w:szCs w:val="24"/>
          <w:shd w:val="clear" w:color="auto" w:fill="FFFFFF"/>
          <w:lang w:val="en-GB" w:eastAsia="de-DE"/>
        </w:rPr>
        <w:footnoteReference w:id="111"/>
      </w:r>
      <w:r w:rsidR="00E531E9">
        <w:rPr>
          <w:rFonts w:ascii="Times New Roman" w:eastAsia="Times New Roman" w:hAnsi="Times New Roman" w:cs="Times New Roman"/>
          <w:color w:val="000000"/>
          <w:sz w:val="24"/>
          <w:szCs w:val="24"/>
          <w:shd w:val="clear" w:color="auto" w:fill="FFFFFF"/>
          <w:lang w:val="en-GB" w:eastAsia="de-DE"/>
        </w:rPr>
        <w:t xml:space="preserve"> Importantly, financial stability</w:t>
      </w:r>
      <w:r w:rsidR="00E36E2D" w:rsidRPr="00497A81">
        <w:rPr>
          <w:rFonts w:ascii="Times New Roman" w:eastAsia="Times New Roman" w:hAnsi="Times New Roman" w:cs="Times New Roman"/>
          <w:color w:val="000000"/>
          <w:sz w:val="24"/>
          <w:szCs w:val="24"/>
          <w:shd w:val="clear" w:color="auto" w:fill="FFFFFF"/>
          <w:lang w:val="en-GB" w:eastAsia="de-DE"/>
        </w:rPr>
        <w:t xml:space="preserve"> also has a micro dimension. </w:t>
      </w:r>
      <w:r w:rsidR="00E531E9">
        <w:rPr>
          <w:rFonts w:ascii="Times New Roman" w:eastAsia="Times New Roman" w:hAnsi="Times New Roman" w:cs="Times New Roman"/>
          <w:color w:val="000000"/>
          <w:sz w:val="24"/>
          <w:szCs w:val="24"/>
          <w:shd w:val="clear" w:color="auto" w:fill="FFFFFF"/>
          <w:lang w:val="en-GB" w:eastAsia="de-DE"/>
        </w:rPr>
        <w:t>I</w:t>
      </w:r>
      <w:r w:rsidR="00E36E2D" w:rsidRPr="00497A81">
        <w:rPr>
          <w:rFonts w:ascii="Times New Roman" w:eastAsia="Times New Roman" w:hAnsi="Times New Roman" w:cs="Times New Roman"/>
          <w:color w:val="000000"/>
          <w:sz w:val="24"/>
          <w:szCs w:val="24"/>
          <w:shd w:val="clear" w:color="auto" w:fill="FFFFFF"/>
          <w:lang w:val="en-GB" w:eastAsia="de-DE"/>
        </w:rPr>
        <w:t>n its micro dimension, consumers can be harmed in several ways</w:t>
      </w:r>
      <w:r>
        <w:rPr>
          <w:rFonts w:ascii="Times New Roman" w:eastAsia="Times New Roman" w:hAnsi="Times New Roman" w:cs="Times New Roman"/>
          <w:color w:val="000000"/>
          <w:sz w:val="24"/>
          <w:szCs w:val="24"/>
          <w:shd w:val="clear" w:color="auto" w:fill="FFFFFF"/>
          <w:lang w:val="en-GB" w:eastAsia="de-DE"/>
        </w:rPr>
        <w:t xml:space="preserve"> by financial instability</w:t>
      </w:r>
      <w:r w:rsidR="00E36E2D" w:rsidRPr="00497A81">
        <w:rPr>
          <w:rFonts w:ascii="Times New Roman" w:eastAsia="Times New Roman" w:hAnsi="Times New Roman" w:cs="Times New Roman"/>
          <w:color w:val="000000"/>
          <w:sz w:val="24"/>
          <w:szCs w:val="24"/>
          <w:shd w:val="clear" w:color="auto" w:fill="FFFFFF"/>
          <w:lang w:val="en-GB" w:eastAsia="de-DE"/>
        </w:rPr>
        <w:t>. First, financial instability can lead, in one way or another, indebt</w:t>
      </w:r>
      <w:r w:rsidR="008E4A29">
        <w:rPr>
          <w:rFonts w:ascii="Times New Roman" w:eastAsia="Times New Roman" w:hAnsi="Times New Roman" w:cs="Times New Roman"/>
          <w:color w:val="000000"/>
          <w:sz w:val="24"/>
          <w:szCs w:val="24"/>
          <w:shd w:val="clear" w:color="auto" w:fill="FFFFFF"/>
          <w:lang w:val="en-GB" w:eastAsia="de-DE"/>
        </w:rPr>
        <w:t>ed consumers into over-indebted</w:t>
      </w:r>
      <w:r w:rsidR="00E36E2D" w:rsidRPr="00497A81">
        <w:rPr>
          <w:rFonts w:ascii="Times New Roman" w:eastAsia="Times New Roman" w:hAnsi="Times New Roman" w:cs="Times New Roman"/>
          <w:color w:val="000000"/>
          <w:sz w:val="24"/>
          <w:szCs w:val="24"/>
          <w:shd w:val="clear" w:color="auto" w:fill="FFFFFF"/>
          <w:lang w:val="en-GB" w:eastAsia="de-DE"/>
        </w:rPr>
        <w:t>ness or</w:t>
      </w:r>
      <w:r w:rsidR="00BB6245" w:rsidRPr="00497A81">
        <w:rPr>
          <w:rFonts w:ascii="Times New Roman" w:eastAsia="Times New Roman" w:hAnsi="Times New Roman" w:cs="Times New Roman"/>
          <w:color w:val="000000"/>
          <w:sz w:val="24"/>
          <w:szCs w:val="24"/>
          <w:shd w:val="clear" w:color="auto" w:fill="FFFFFF"/>
          <w:lang w:val="en-GB" w:eastAsia="de-DE"/>
        </w:rPr>
        <w:t>,</w:t>
      </w:r>
      <w:r w:rsidR="00E36E2D" w:rsidRPr="00497A81">
        <w:rPr>
          <w:rFonts w:ascii="Times New Roman" w:eastAsia="Times New Roman" w:hAnsi="Times New Roman" w:cs="Times New Roman"/>
          <w:color w:val="000000"/>
          <w:sz w:val="24"/>
          <w:szCs w:val="24"/>
          <w:shd w:val="clear" w:color="auto" w:fill="FFFFFF"/>
          <w:lang w:val="en-GB" w:eastAsia="de-DE"/>
        </w:rPr>
        <w:t xml:space="preserve"> at least</w:t>
      </w:r>
      <w:r w:rsidR="00BB6245" w:rsidRPr="00497A81">
        <w:rPr>
          <w:rFonts w:ascii="Times New Roman" w:eastAsia="Times New Roman" w:hAnsi="Times New Roman" w:cs="Times New Roman"/>
          <w:color w:val="000000"/>
          <w:sz w:val="24"/>
          <w:szCs w:val="24"/>
          <w:shd w:val="clear" w:color="auto" w:fill="FFFFFF"/>
          <w:lang w:val="en-GB" w:eastAsia="de-DE"/>
        </w:rPr>
        <w:t>,</w:t>
      </w:r>
      <w:r w:rsidR="00E36E2D" w:rsidRPr="00497A81">
        <w:rPr>
          <w:rFonts w:ascii="Times New Roman" w:eastAsia="Times New Roman" w:hAnsi="Times New Roman" w:cs="Times New Roman"/>
          <w:color w:val="000000"/>
          <w:sz w:val="24"/>
          <w:szCs w:val="24"/>
          <w:shd w:val="clear" w:color="auto" w:fill="FFFFFF"/>
          <w:lang w:val="en-GB" w:eastAsia="de-DE"/>
        </w:rPr>
        <w:t xml:space="preserve"> make them experience financial difficulties. For example, a variable rate loan can become difficult to bear due to financial instability, or the consumer can experience a reduction of income – with obvious consequences on his solvency. </w:t>
      </w:r>
      <w:r w:rsidR="00BB6245" w:rsidRPr="00497A81">
        <w:rPr>
          <w:rFonts w:ascii="Times New Roman" w:eastAsia="Times New Roman" w:hAnsi="Times New Roman" w:cs="Times New Roman"/>
          <w:color w:val="000000"/>
          <w:sz w:val="24"/>
          <w:szCs w:val="24"/>
          <w:shd w:val="clear" w:color="auto" w:fill="FFFFFF"/>
          <w:lang w:val="en-GB" w:eastAsia="de-DE"/>
        </w:rPr>
        <w:t>Second, i</w:t>
      </w:r>
      <w:r w:rsidR="00E36E2D" w:rsidRPr="00497A81">
        <w:rPr>
          <w:rFonts w:ascii="Times New Roman" w:eastAsia="Times New Roman" w:hAnsi="Times New Roman" w:cs="Times New Roman"/>
          <w:color w:val="000000"/>
          <w:sz w:val="24"/>
          <w:szCs w:val="24"/>
          <w:shd w:val="clear" w:color="auto" w:fill="FFFFFF"/>
          <w:lang w:val="en-GB" w:eastAsia="de-DE"/>
        </w:rPr>
        <w:t>nstability can also cause a credit crunch, for example, due to the difficulty for financial entrepreneurs of predicting the value of the relevant economic variables</w:t>
      </w:r>
      <w:r w:rsidR="00BB6245" w:rsidRPr="00497A81">
        <w:rPr>
          <w:rFonts w:ascii="Times New Roman" w:eastAsia="Times New Roman" w:hAnsi="Times New Roman" w:cs="Times New Roman"/>
          <w:color w:val="000000"/>
          <w:sz w:val="24"/>
          <w:szCs w:val="24"/>
          <w:shd w:val="clear" w:color="auto" w:fill="FFFFFF"/>
          <w:lang w:val="en-GB" w:eastAsia="de-DE"/>
        </w:rPr>
        <w:t xml:space="preserve"> or, more fundamentally, for the default risk of financial entrepreneurs which implies a more conservative approach to credit services</w:t>
      </w:r>
      <w:r w:rsidR="00E36E2D" w:rsidRPr="00497A81">
        <w:rPr>
          <w:rFonts w:ascii="Times New Roman" w:eastAsia="Times New Roman" w:hAnsi="Times New Roman" w:cs="Times New Roman"/>
          <w:color w:val="000000"/>
          <w:sz w:val="24"/>
          <w:szCs w:val="24"/>
          <w:shd w:val="clear" w:color="auto" w:fill="FFFFFF"/>
          <w:lang w:val="en-GB" w:eastAsia="de-DE"/>
        </w:rPr>
        <w:t>. When this happens, some consumers will be excluded from the credit market, circumstance that reduces their capacity of intertemporal allocation of budget</w:t>
      </w:r>
      <w:r w:rsidR="00BB6245" w:rsidRPr="00497A81">
        <w:rPr>
          <w:rFonts w:ascii="Times New Roman" w:eastAsia="Times New Roman" w:hAnsi="Times New Roman" w:cs="Times New Roman"/>
          <w:color w:val="000000"/>
          <w:sz w:val="24"/>
          <w:szCs w:val="24"/>
          <w:shd w:val="clear" w:color="auto" w:fill="FFFFFF"/>
          <w:lang w:val="en-GB" w:eastAsia="de-DE"/>
        </w:rPr>
        <w:t xml:space="preserve">. For others, the credit conditions will be worsened. Due to instability, on the one hand, the financial status of indebted consumers can worsen and, on the other hand, some consumers can remain excluded from the credit market or can access to it at higher costs. </w:t>
      </w:r>
      <w:r w:rsidR="00E531E9">
        <w:rPr>
          <w:rFonts w:ascii="Times New Roman" w:eastAsia="Times New Roman" w:hAnsi="Times New Roman" w:cs="Times New Roman"/>
          <w:color w:val="000000"/>
          <w:sz w:val="24"/>
          <w:szCs w:val="24"/>
          <w:shd w:val="clear" w:color="auto" w:fill="FFFFFF"/>
          <w:lang w:val="en-GB" w:eastAsia="de-DE"/>
        </w:rPr>
        <w:t>In between, there is the externality problem. A cause of excessive lending in the last financial crisis has been the shifting from a model of “</w:t>
      </w:r>
      <w:r w:rsidR="00F10FEB">
        <w:rPr>
          <w:rFonts w:ascii="Times New Roman" w:eastAsia="Times New Roman" w:hAnsi="Times New Roman" w:cs="Times New Roman"/>
          <w:color w:val="000000"/>
          <w:sz w:val="24"/>
          <w:szCs w:val="24"/>
          <w:shd w:val="clear" w:color="auto" w:fill="FFFFFF"/>
          <w:lang w:val="en-GB" w:eastAsia="de-DE"/>
        </w:rPr>
        <w:t>originate</w:t>
      </w:r>
      <w:r w:rsidR="00E531E9">
        <w:rPr>
          <w:rFonts w:ascii="Times New Roman" w:eastAsia="Times New Roman" w:hAnsi="Times New Roman" w:cs="Times New Roman"/>
          <w:color w:val="000000"/>
          <w:sz w:val="24"/>
          <w:szCs w:val="24"/>
          <w:shd w:val="clear" w:color="auto" w:fill="FFFFFF"/>
          <w:lang w:val="en-GB" w:eastAsia="de-DE"/>
        </w:rPr>
        <w:t xml:space="preserve"> to hold” to a model of “</w:t>
      </w:r>
      <w:r w:rsidR="00F10FEB">
        <w:rPr>
          <w:rFonts w:ascii="Times New Roman" w:eastAsia="Times New Roman" w:hAnsi="Times New Roman" w:cs="Times New Roman"/>
          <w:color w:val="000000"/>
          <w:sz w:val="24"/>
          <w:szCs w:val="24"/>
          <w:shd w:val="clear" w:color="auto" w:fill="FFFFFF"/>
          <w:lang w:val="en-GB" w:eastAsia="de-DE"/>
        </w:rPr>
        <w:t>originate</w:t>
      </w:r>
      <w:r w:rsidR="00E531E9">
        <w:rPr>
          <w:rFonts w:ascii="Times New Roman" w:eastAsia="Times New Roman" w:hAnsi="Times New Roman" w:cs="Times New Roman"/>
          <w:color w:val="000000"/>
          <w:sz w:val="24"/>
          <w:szCs w:val="24"/>
          <w:shd w:val="clear" w:color="auto" w:fill="FFFFFF"/>
          <w:lang w:val="en-GB" w:eastAsia="de-DE"/>
        </w:rPr>
        <w:t xml:space="preserve"> to </w:t>
      </w:r>
      <w:r w:rsidR="00161C5A">
        <w:rPr>
          <w:rFonts w:ascii="Times New Roman" w:eastAsia="Times New Roman" w:hAnsi="Times New Roman" w:cs="Times New Roman"/>
          <w:color w:val="000000"/>
          <w:sz w:val="24"/>
          <w:szCs w:val="24"/>
          <w:shd w:val="clear" w:color="auto" w:fill="FFFFFF"/>
          <w:lang w:val="en-GB" w:eastAsia="de-DE"/>
        </w:rPr>
        <w:t>distribute</w:t>
      </w:r>
      <w:r w:rsidR="00E531E9">
        <w:rPr>
          <w:rFonts w:ascii="Times New Roman" w:eastAsia="Times New Roman" w:hAnsi="Times New Roman" w:cs="Times New Roman"/>
          <w:color w:val="000000"/>
          <w:sz w:val="24"/>
          <w:szCs w:val="24"/>
          <w:shd w:val="clear" w:color="auto" w:fill="FFFFFF"/>
          <w:lang w:val="en-GB" w:eastAsia="de-DE"/>
        </w:rPr>
        <w:t>” in the mortgage market</w:t>
      </w:r>
      <w:r w:rsidR="00161C5A">
        <w:rPr>
          <w:rFonts w:ascii="Times New Roman" w:eastAsia="Times New Roman" w:hAnsi="Times New Roman" w:cs="Times New Roman"/>
          <w:color w:val="000000"/>
          <w:sz w:val="24"/>
          <w:szCs w:val="24"/>
          <w:shd w:val="clear" w:color="auto" w:fill="FFFFFF"/>
          <w:lang w:val="en-GB" w:eastAsia="de-DE"/>
        </w:rPr>
        <w:t xml:space="preserve"> based on </w:t>
      </w:r>
      <w:r w:rsidR="009563ED">
        <w:rPr>
          <w:rFonts w:ascii="Times New Roman" w:eastAsia="Times New Roman" w:hAnsi="Times New Roman" w:cs="Times New Roman"/>
          <w:color w:val="000000"/>
          <w:sz w:val="24"/>
          <w:szCs w:val="24"/>
          <w:shd w:val="clear" w:color="auto" w:fill="FFFFFF"/>
          <w:lang w:val="en-GB" w:eastAsia="de-DE"/>
        </w:rPr>
        <w:t xml:space="preserve">the </w:t>
      </w:r>
      <w:r w:rsidR="00161C5A">
        <w:rPr>
          <w:rFonts w:ascii="Times New Roman" w:eastAsia="Times New Roman" w:hAnsi="Times New Roman" w:cs="Times New Roman"/>
          <w:color w:val="000000"/>
          <w:sz w:val="24"/>
          <w:szCs w:val="24"/>
          <w:shd w:val="clear" w:color="auto" w:fill="FFFFFF"/>
          <w:lang w:val="en-GB" w:eastAsia="de-DE"/>
        </w:rPr>
        <w:t>securitization of loan</w:t>
      </w:r>
      <w:r w:rsidR="009563ED">
        <w:rPr>
          <w:rFonts w:ascii="Times New Roman" w:eastAsia="Times New Roman" w:hAnsi="Times New Roman" w:cs="Times New Roman"/>
          <w:color w:val="000000"/>
          <w:sz w:val="24"/>
          <w:szCs w:val="24"/>
          <w:shd w:val="clear" w:color="auto" w:fill="FFFFFF"/>
          <w:lang w:val="en-GB" w:eastAsia="de-DE"/>
        </w:rPr>
        <w:t>s</w:t>
      </w:r>
      <w:r w:rsidR="00E531E9">
        <w:rPr>
          <w:rFonts w:ascii="Times New Roman" w:eastAsia="Times New Roman" w:hAnsi="Times New Roman" w:cs="Times New Roman"/>
          <w:color w:val="000000"/>
          <w:sz w:val="24"/>
          <w:szCs w:val="24"/>
          <w:shd w:val="clear" w:color="auto" w:fill="FFFFFF"/>
          <w:lang w:val="en-GB" w:eastAsia="de-DE"/>
        </w:rPr>
        <w:t xml:space="preserve">. This </w:t>
      </w:r>
      <w:r w:rsidR="00161C5A">
        <w:rPr>
          <w:rFonts w:ascii="Times New Roman" w:eastAsia="Times New Roman" w:hAnsi="Times New Roman" w:cs="Times New Roman"/>
          <w:color w:val="000000"/>
          <w:sz w:val="24"/>
          <w:szCs w:val="24"/>
          <w:shd w:val="clear" w:color="auto" w:fill="FFFFFF"/>
          <w:lang w:val="en-GB" w:eastAsia="de-DE"/>
        </w:rPr>
        <w:t xml:space="preserve">shift of business model </w:t>
      </w:r>
      <w:r w:rsidR="00E531E9">
        <w:rPr>
          <w:rFonts w:ascii="Times New Roman" w:eastAsia="Times New Roman" w:hAnsi="Times New Roman" w:cs="Times New Roman"/>
          <w:color w:val="000000"/>
          <w:sz w:val="24"/>
          <w:szCs w:val="24"/>
          <w:shd w:val="clear" w:color="auto" w:fill="FFFFFF"/>
          <w:lang w:val="en-GB" w:eastAsia="de-DE"/>
        </w:rPr>
        <w:t>has reduce</w:t>
      </w:r>
      <w:r w:rsidR="00161C5A">
        <w:rPr>
          <w:rFonts w:ascii="Times New Roman" w:eastAsia="Times New Roman" w:hAnsi="Times New Roman" w:cs="Times New Roman"/>
          <w:color w:val="000000"/>
          <w:sz w:val="24"/>
          <w:szCs w:val="24"/>
          <w:shd w:val="clear" w:color="auto" w:fill="FFFFFF"/>
          <w:lang w:val="en-GB" w:eastAsia="de-DE"/>
        </w:rPr>
        <w:t>d</w:t>
      </w:r>
      <w:r w:rsidR="00E531E9">
        <w:rPr>
          <w:rFonts w:ascii="Times New Roman" w:eastAsia="Times New Roman" w:hAnsi="Times New Roman" w:cs="Times New Roman"/>
          <w:color w:val="000000"/>
          <w:sz w:val="24"/>
          <w:szCs w:val="24"/>
          <w:shd w:val="clear" w:color="auto" w:fill="FFFFFF"/>
          <w:lang w:val="en-GB" w:eastAsia="de-DE"/>
        </w:rPr>
        <w:t xml:space="preserve"> the incentives of borrowers to assess the financial creditworthiness of consumers</w:t>
      </w:r>
      <w:r w:rsidR="00161C5A">
        <w:rPr>
          <w:rFonts w:ascii="Times New Roman" w:eastAsia="Times New Roman" w:hAnsi="Times New Roman" w:cs="Times New Roman"/>
          <w:color w:val="000000"/>
          <w:sz w:val="24"/>
          <w:szCs w:val="24"/>
          <w:shd w:val="clear" w:color="auto" w:fill="FFFFFF"/>
          <w:lang w:val="en-GB" w:eastAsia="de-DE"/>
        </w:rPr>
        <w:t xml:space="preserve"> contributing to the development in the bubble in the </w:t>
      </w:r>
      <w:r w:rsidR="009563ED">
        <w:rPr>
          <w:rFonts w:ascii="Times New Roman" w:eastAsia="Times New Roman" w:hAnsi="Times New Roman" w:cs="Times New Roman"/>
          <w:color w:val="000000"/>
          <w:sz w:val="24"/>
          <w:szCs w:val="24"/>
          <w:shd w:val="clear" w:color="auto" w:fill="FFFFFF"/>
          <w:lang w:val="en-GB" w:eastAsia="de-DE"/>
        </w:rPr>
        <w:t>real estate</w:t>
      </w:r>
      <w:r w:rsidR="00161C5A">
        <w:rPr>
          <w:rFonts w:ascii="Times New Roman" w:eastAsia="Times New Roman" w:hAnsi="Times New Roman" w:cs="Times New Roman"/>
          <w:color w:val="000000"/>
          <w:sz w:val="24"/>
          <w:szCs w:val="24"/>
          <w:shd w:val="clear" w:color="auto" w:fill="FFFFFF"/>
          <w:lang w:val="en-GB" w:eastAsia="de-DE"/>
        </w:rPr>
        <w:t xml:space="preserve"> </w:t>
      </w:r>
      <w:r w:rsidR="00161C5A">
        <w:rPr>
          <w:rFonts w:ascii="Times New Roman" w:eastAsia="Times New Roman" w:hAnsi="Times New Roman" w:cs="Times New Roman"/>
          <w:color w:val="000000"/>
          <w:sz w:val="24"/>
          <w:szCs w:val="24"/>
          <w:shd w:val="clear" w:color="auto" w:fill="FFFFFF"/>
          <w:lang w:val="en-GB" w:eastAsia="de-DE"/>
        </w:rPr>
        <w:lastRenderedPageBreak/>
        <w:t>market</w:t>
      </w:r>
      <w:r w:rsidR="00E531E9">
        <w:rPr>
          <w:rFonts w:ascii="Times New Roman" w:eastAsia="Times New Roman" w:hAnsi="Times New Roman" w:cs="Times New Roman"/>
          <w:color w:val="000000"/>
          <w:sz w:val="24"/>
          <w:szCs w:val="24"/>
          <w:shd w:val="clear" w:color="auto" w:fill="FFFFFF"/>
          <w:lang w:val="en-GB" w:eastAsia="de-DE"/>
        </w:rPr>
        <w:t>.</w:t>
      </w:r>
      <w:r w:rsidR="00E531E9">
        <w:rPr>
          <w:rStyle w:val="Rimandonotaapidipagina"/>
          <w:rFonts w:ascii="Times New Roman" w:eastAsia="Times New Roman" w:hAnsi="Times New Roman" w:cs="Times New Roman"/>
          <w:color w:val="000000"/>
          <w:sz w:val="24"/>
          <w:szCs w:val="24"/>
          <w:shd w:val="clear" w:color="auto" w:fill="FFFFFF"/>
          <w:lang w:val="en-GB" w:eastAsia="de-DE"/>
        </w:rPr>
        <w:footnoteReference w:id="112"/>
      </w:r>
      <w:r w:rsidR="00161C5A">
        <w:rPr>
          <w:rFonts w:ascii="Times New Roman" w:eastAsia="Times New Roman" w:hAnsi="Times New Roman" w:cs="Times New Roman"/>
          <w:color w:val="000000"/>
          <w:sz w:val="24"/>
          <w:szCs w:val="24"/>
          <w:shd w:val="clear" w:color="auto" w:fill="FFFFFF"/>
          <w:lang w:val="en-GB" w:eastAsia="de-DE"/>
        </w:rPr>
        <w:t xml:space="preserve"> Both the building and bursting of the bubble have had external effects. Hence, there was an externality problem which was relevant both at the micro and the macro level.</w:t>
      </w:r>
    </w:p>
    <w:p w14:paraId="7513D161" w14:textId="68330DDF" w:rsidR="00E531E9" w:rsidRDefault="00E531E9" w:rsidP="008906D8">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sidRPr="002911D1">
        <w:rPr>
          <w:rFonts w:ascii="Times New Roman" w:eastAsia="Times New Roman" w:hAnsi="Times New Roman" w:cs="Times New Roman"/>
          <w:color w:val="000000"/>
          <w:sz w:val="24"/>
          <w:szCs w:val="24"/>
          <w:shd w:val="clear" w:color="auto" w:fill="FFFFFF"/>
          <w:lang w:val="en-GB" w:eastAsia="de-DE"/>
        </w:rPr>
        <w:t xml:space="preserve">Given this plurality of goals and their interplay, one way to understand to what extent the interest of the consumers is a concern of credit policies is looking at the </w:t>
      </w:r>
      <w:r w:rsidR="00C54502" w:rsidRPr="002911D1">
        <w:rPr>
          <w:rFonts w:ascii="Times New Roman" w:eastAsia="Times New Roman" w:hAnsi="Times New Roman" w:cs="Times New Roman"/>
          <w:color w:val="000000"/>
          <w:sz w:val="24"/>
          <w:szCs w:val="24"/>
          <w:shd w:val="clear" w:color="auto" w:fill="FFFFFF"/>
          <w:lang w:val="en-GB" w:eastAsia="de-DE"/>
        </w:rPr>
        <w:t xml:space="preserve">extent to which the </w:t>
      </w:r>
      <w:r w:rsidR="002911D1">
        <w:rPr>
          <w:rFonts w:ascii="Times New Roman" w:eastAsia="Times New Roman" w:hAnsi="Times New Roman" w:cs="Times New Roman"/>
          <w:color w:val="000000"/>
          <w:sz w:val="24"/>
          <w:szCs w:val="24"/>
          <w:shd w:val="clear" w:color="auto" w:fill="FFFFFF"/>
          <w:lang w:val="en-GB" w:eastAsia="de-DE"/>
        </w:rPr>
        <w:t xml:space="preserve">EU </w:t>
      </w:r>
      <w:r w:rsidR="00C54502" w:rsidRPr="002911D1">
        <w:rPr>
          <w:rFonts w:ascii="Times New Roman" w:eastAsia="Times New Roman" w:hAnsi="Times New Roman" w:cs="Times New Roman"/>
          <w:color w:val="000000"/>
          <w:sz w:val="24"/>
          <w:szCs w:val="24"/>
          <w:shd w:val="clear" w:color="auto" w:fill="FFFFFF"/>
          <w:lang w:val="en-GB" w:eastAsia="de-DE"/>
        </w:rPr>
        <w:t xml:space="preserve">regulation of the credit contract cares about consumers interest in the design of the contract and its execution. First, we look at </w:t>
      </w:r>
      <w:r w:rsidR="002911D1" w:rsidRPr="00DA09BA">
        <w:rPr>
          <w:rFonts w:ascii="Times New Roman" w:eastAsia="Times New Roman" w:hAnsi="Times New Roman" w:cs="Times New Roman"/>
          <w:color w:val="000000"/>
          <w:sz w:val="24"/>
          <w:szCs w:val="24"/>
          <w:shd w:val="clear" w:color="auto" w:fill="FFFFFF"/>
          <w:lang w:val="en-GB" w:eastAsia="de-DE"/>
        </w:rPr>
        <w:t>goals of</w:t>
      </w:r>
      <w:r w:rsidR="00C54502" w:rsidRPr="002911D1">
        <w:rPr>
          <w:rFonts w:ascii="Times New Roman" w:eastAsia="Times New Roman" w:hAnsi="Times New Roman" w:cs="Times New Roman"/>
          <w:color w:val="000000"/>
          <w:sz w:val="24"/>
          <w:szCs w:val="24"/>
          <w:shd w:val="clear" w:color="auto" w:fill="FFFFFF"/>
          <w:lang w:val="en-GB" w:eastAsia="de-DE"/>
        </w:rPr>
        <w:t xml:space="preserve"> the 1987 Consumer Credit Directive (CCD87), the current Consumer Credit Directive (CCD) and, finally, at the so called (Consumer) Mortgage Directive (MCD). Second, we look more in detail at the provisions on the creditworthiness assessment</w:t>
      </w:r>
      <w:r w:rsidR="002911D1" w:rsidRPr="00DA09BA">
        <w:rPr>
          <w:rFonts w:ascii="Times New Roman" w:eastAsia="Times New Roman" w:hAnsi="Times New Roman" w:cs="Times New Roman"/>
          <w:color w:val="000000"/>
          <w:sz w:val="24"/>
          <w:szCs w:val="24"/>
          <w:shd w:val="clear" w:color="auto" w:fill="FFFFFF"/>
          <w:lang w:val="en-GB" w:eastAsia="de-DE"/>
        </w:rPr>
        <w:t xml:space="preserve"> an inquiry in their relation with the consumer interest</w:t>
      </w:r>
      <w:r w:rsidR="00C54502" w:rsidRPr="002911D1">
        <w:rPr>
          <w:rFonts w:ascii="Times New Roman" w:eastAsia="Times New Roman" w:hAnsi="Times New Roman" w:cs="Times New Roman"/>
          <w:color w:val="000000"/>
          <w:sz w:val="24"/>
          <w:szCs w:val="24"/>
          <w:shd w:val="clear" w:color="auto" w:fill="FFFFFF"/>
          <w:lang w:val="en-GB" w:eastAsia="de-DE"/>
        </w:rPr>
        <w:t xml:space="preserve">. In fact, </w:t>
      </w:r>
      <w:r w:rsidR="002911D1" w:rsidRPr="00DA09BA">
        <w:rPr>
          <w:rFonts w:ascii="Times New Roman" w:eastAsia="Times New Roman" w:hAnsi="Times New Roman" w:cs="Times New Roman"/>
          <w:color w:val="000000"/>
          <w:sz w:val="24"/>
          <w:szCs w:val="24"/>
          <w:shd w:val="clear" w:color="auto" w:fill="FFFFFF"/>
          <w:lang w:val="en-GB" w:eastAsia="de-DE"/>
        </w:rPr>
        <w:t>to establish if a debtor is worthy enough, you have to identify an outcome that you want to avoid.</w:t>
      </w:r>
      <w:r w:rsidR="00C54502" w:rsidRPr="002911D1">
        <w:rPr>
          <w:rFonts w:ascii="Times New Roman" w:eastAsia="Times New Roman" w:hAnsi="Times New Roman" w:cs="Times New Roman"/>
          <w:color w:val="000000"/>
          <w:sz w:val="24"/>
          <w:szCs w:val="24"/>
          <w:shd w:val="clear" w:color="auto" w:fill="FFFFFF"/>
          <w:lang w:val="en-GB" w:eastAsia="de-DE"/>
        </w:rPr>
        <w:t xml:space="preserve"> Third, we look at the </w:t>
      </w:r>
      <w:r w:rsidR="002911D1" w:rsidRPr="00DA09BA">
        <w:rPr>
          <w:rFonts w:ascii="Times New Roman" w:eastAsia="Times New Roman" w:hAnsi="Times New Roman" w:cs="Times New Roman"/>
          <w:color w:val="000000"/>
          <w:sz w:val="24"/>
          <w:szCs w:val="24"/>
          <w:shd w:val="clear" w:color="auto" w:fill="FFFFFF"/>
          <w:lang w:val="en-GB" w:eastAsia="de-DE"/>
        </w:rPr>
        <w:t>regulation of credit contract</w:t>
      </w:r>
      <w:r w:rsidR="009563ED">
        <w:rPr>
          <w:rFonts w:ascii="Times New Roman" w:eastAsia="Times New Roman" w:hAnsi="Times New Roman" w:cs="Times New Roman"/>
          <w:color w:val="000000"/>
          <w:sz w:val="24"/>
          <w:szCs w:val="24"/>
          <w:shd w:val="clear" w:color="auto" w:fill="FFFFFF"/>
          <w:lang w:val="en-GB" w:eastAsia="de-DE"/>
        </w:rPr>
        <w:t>s</w:t>
      </w:r>
      <w:r w:rsidR="002911D1" w:rsidRPr="00DA09BA">
        <w:rPr>
          <w:rFonts w:ascii="Times New Roman" w:eastAsia="Times New Roman" w:hAnsi="Times New Roman" w:cs="Times New Roman"/>
          <w:color w:val="000000"/>
          <w:sz w:val="24"/>
          <w:szCs w:val="24"/>
          <w:shd w:val="clear" w:color="auto" w:fill="FFFFFF"/>
          <w:lang w:val="en-GB" w:eastAsia="de-DE"/>
        </w:rPr>
        <w:t xml:space="preserve"> </w:t>
      </w:r>
      <w:r w:rsidR="009563ED">
        <w:rPr>
          <w:rFonts w:ascii="Times New Roman" w:eastAsia="Times New Roman" w:hAnsi="Times New Roman" w:cs="Times New Roman"/>
          <w:color w:val="000000"/>
          <w:sz w:val="24"/>
          <w:szCs w:val="24"/>
          <w:shd w:val="clear" w:color="auto" w:fill="FFFFFF"/>
          <w:lang w:val="en-GB" w:eastAsia="de-DE"/>
        </w:rPr>
        <w:t>with the lenses of</w:t>
      </w:r>
      <w:r w:rsidR="002911D1" w:rsidRPr="00DA09BA">
        <w:rPr>
          <w:rFonts w:ascii="Times New Roman" w:eastAsia="Times New Roman" w:hAnsi="Times New Roman" w:cs="Times New Roman"/>
          <w:color w:val="000000"/>
          <w:sz w:val="24"/>
          <w:szCs w:val="24"/>
          <w:shd w:val="clear" w:color="auto" w:fill="FFFFFF"/>
          <w:lang w:val="en-GB" w:eastAsia="de-DE"/>
        </w:rPr>
        <w:t xml:space="preserve"> the principal multi agent model.</w:t>
      </w:r>
    </w:p>
    <w:p w14:paraId="0AB4B23B" w14:textId="77777777" w:rsidR="00E531E9" w:rsidRDefault="00E531E9" w:rsidP="008906D8">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p>
    <w:p w14:paraId="064BF64D" w14:textId="40227D1B" w:rsidR="00C54502" w:rsidRPr="00DA09BA" w:rsidRDefault="0060682B">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DA09BA">
        <w:rPr>
          <w:rFonts w:ascii="Times New Roman" w:eastAsia="Times New Roman" w:hAnsi="Times New Roman" w:cs="Times New Roman"/>
          <w:b/>
          <w:color w:val="000000"/>
          <w:sz w:val="24"/>
          <w:szCs w:val="24"/>
          <w:shd w:val="clear" w:color="auto" w:fill="FFFFFF"/>
          <w:lang w:val="en-GB" w:eastAsia="de-DE"/>
        </w:rPr>
        <w:t xml:space="preserve">1. The </w:t>
      </w:r>
      <w:r w:rsidR="00354707">
        <w:rPr>
          <w:rFonts w:ascii="Times New Roman" w:eastAsia="Times New Roman" w:hAnsi="Times New Roman" w:cs="Times New Roman"/>
          <w:b/>
          <w:color w:val="000000"/>
          <w:sz w:val="24"/>
          <w:szCs w:val="24"/>
          <w:shd w:val="clear" w:color="auto" w:fill="FFFFFF"/>
          <w:lang w:val="en-GB" w:eastAsia="de-DE"/>
        </w:rPr>
        <w:t>Aims</w:t>
      </w:r>
      <w:r w:rsidRPr="00DA09BA">
        <w:rPr>
          <w:rFonts w:ascii="Times New Roman" w:eastAsia="Times New Roman" w:hAnsi="Times New Roman" w:cs="Times New Roman"/>
          <w:b/>
          <w:color w:val="000000"/>
          <w:sz w:val="24"/>
          <w:szCs w:val="24"/>
          <w:shd w:val="clear" w:color="auto" w:fill="FFFFFF"/>
          <w:lang w:val="en-GB" w:eastAsia="de-DE"/>
        </w:rPr>
        <w:t xml:space="preserve"> of Credit Regulation in the EU</w:t>
      </w:r>
    </w:p>
    <w:p w14:paraId="2B349275" w14:textId="77777777" w:rsidR="00C54502" w:rsidRDefault="00C54502"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675B9ED9" w14:textId="0FB84F9D" w:rsidR="0060682B" w:rsidRDefault="0060682B"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In this section</w:t>
      </w:r>
      <w:r w:rsidR="00354707">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we look at the </w:t>
      </w:r>
      <w:r w:rsidR="00354707">
        <w:rPr>
          <w:rFonts w:ascii="Times New Roman" w:eastAsia="Times New Roman" w:hAnsi="Times New Roman" w:cs="Times New Roman"/>
          <w:color w:val="000000"/>
          <w:sz w:val="24"/>
          <w:szCs w:val="24"/>
          <w:shd w:val="clear" w:color="auto" w:fill="FFFFFF"/>
          <w:lang w:val="en-GB" w:eastAsia="de-DE"/>
        </w:rPr>
        <w:t>normative aims</w:t>
      </w:r>
      <w:r>
        <w:rPr>
          <w:rFonts w:ascii="Times New Roman" w:eastAsia="Times New Roman" w:hAnsi="Times New Roman" w:cs="Times New Roman"/>
          <w:color w:val="000000"/>
          <w:sz w:val="24"/>
          <w:szCs w:val="24"/>
          <w:shd w:val="clear" w:color="auto" w:fill="FFFFFF"/>
          <w:lang w:val="en-GB" w:eastAsia="de-DE"/>
        </w:rPr>
        <w:t xml:space="preserve"> of the three mentioned directives. </w:t>
      </w:r>
      <w:r w:rsidR="00812542">
        <w:rPr>
          <w:rFonts w:ascii="Times New Roman" w:eastAsia="Times New Roman" w:hAnsi="Times New Roman" w:cs="Times New Roman"/>
          <w:color w:val="000000"/>
          <w:sz w:val="24"/>
          <w:szCs w:val="24"/>
          <w:shd w:val="clear" w:color="auto" w:fill="FFFFFF"/>
          <w:lang w:val="en-GB" w:eastAsia="de-DE"/>
        </w:rPr>
        <w:t>More precisely</w:t>
      </w:r>
      <w:r>
        <w:rPr>
          <w:rFonts w:ascii="Times New Roman" w:eastAsia="Times New Roman" w:hAnsi="Times New Roman" w:cs="Times New Roman"/>
          <w:color w:val="000000"/>
          <w:sz w:val="24"/>
          <w:szCs w:val="24"/>
          <w:shd w:val="clear" w:color="auto" w:fill="FFFFFF"/>
          <w:lang w:val="en-GB" w:eastAsia="de-DE"/>
        </w:rPr>
        <w:t xml:space="preserve">, </w:t>
      </w:r>
      <w:r w:rsidR="00812542">
        <w:rPr>
          <w:rFonts w:ascii="Times New Roman" w:eastAsia="Times New Roman" w:hAnsi="Times New Roman" w:cs="Times New Roman"/>
          <w:color w:val="000000"/>
          <w:sz w:val="24"/>
          <w:szCs w:val="24"/>
          <w:shd w:val="clear" w:color="auto" w:fill="FFFFFF"/>
          <w:lang w:val="en-GB" w:eastAsia="de-DE"/>
        </w:rPr>
        <w:t xml:space="preserve">we search for </w:t>
      </w:r>
      <w:r>
        <w:rPr>
          <w:rFonts w:ascii="Times New Roman" w:eastAsia="Times New Roman" w:hAnsi="Times New Roman" w:cs="Times New Roman"/>
          <w:color w:val="000000"/>
          <w:sz w:val="24"/>
          <w:szCs w:val="24"/>
          <w:shd w:val="clear" w:color="auto" w:fill="FFFFFF"/>
          <w:lang w:val="en-GB" w:eastAsia="de-DE"/>
        </w:rPr>
        <w:t xml:space="preserve">the references to macro and micro goals. </w:t>
      </w:r>
      <w:r w:rsidR="009563ED">
        <w:rPr>
          <w:rFonts w:ascii="Times New Roman" w:eastAsia="Times New Roman" w:hAnsi="Times New Roman" w:cs="Times New Roman"/>
          <w:color w:val="000000"/>
          <w:sz w:val="24"/>
          <w:szCs w:val="24"/>
          <w:shd w:val="clear" w:color="auto" w:fill="FFFFFF"/>
          <w:lang w:val="en-GB" w:eastAsia="de-DE"/>
        </w:rPr>
        <w:t>Here, o</w:t>
      </w:r>
      <w:r>
        <w:rPr>
          <w:rFonts w:ascii="Times New Roman" w:eastAsia="Times New Roman" w:hAnsi="Times New Roman" w:cs="Times New Roman"/>
          <w:color w:val="000000"/>
          <w:sz w:val="24"/>
          <w:szCs w:val="24"/>
          <w:shd w:val="clear" w:color="auto" w:fill="FFFFFF"/>
          <w:lang w:val="en-GB" w:eastAsia="de-DE"/>
        </w:rPr>
        <w:t>ur approach is supp</w:t>
      </w:r>
      <w:r w:rsidR="009563ED">
        <w:rPr>
          <w:rFonts w:ascii="Times New Roman" w:eastAsia="Times New Roman" w:hAnsi="Times New Roman" w:cs="Times New Roman"/>
          <w:color w:val="000000"/>
          <w:sz w:val="24"/>
          <w:szCs w:val="24"/>
          <w:shd w:val="clear" w:color="auto" w:fill="FFFFFF"/>
          <w:lang w:val="en-GB" w:eastAsia="de-DE"/>
        </w:rPr>
        <w:t xml:space="preserve">orted if </w:t>
      </w:r>
      <w:r>
        <w:rPr>
          <w:rFonts w:ascii="Times New Roman" w:eastAsia="Times New Roman" w:hAnsi="Times New Roman" w:cs="Times New Roman"/>
          <w:color w:val="000000"/>
          <w:sz w:val="24"/>
          <w:szCs w:val="24"/>
          <w:shd w:val="clear" w:color="auto" w:fill="FFFFFF"/>
          <w:lang w:val="en-GB" w:eastAsia="de-DE"/>
        </w:rPr>
        <w:t xml:space="preserve">macro goals </w:t>
      </w:r>
      <w:r w:rsidR="009563ED">
        <w:rPr>
          <w:rFonts w:ascii="Times New Roman" w:eastAsia="Times New Roman" w:hAnsi="Times New Roman" w:cs="Times New Roman"/>
          <w:color w:val="000000"/>
          <w:sz w:val="24"/>
          <w:szCs w:val="24"/>
          <w:shd w:val="clear" w:color="auto" w:fill="FFFFFF"/>
          <w:lang w:val="en-GB" w:eastAsia="de-DE"/>
        </w:rPr>
        <w:t>are</w:t>
      </w:r>
      <w:r>
        <w:rPr>
          <w:rFonts w:ascii="Times New Roman" w:eastAsia="Times New Roman" w:hAnsi="Times New Roman" w:cs="Times New Roman"/>
          <w:color w:val="000000"/>
          <w:sz w:val="24"/>
          <w:szCs w:val="24"/>
          <w:shd w:val="clear" w:color="auto" w:fill="FFFFFF"/>
          <w:lang w:val="en-GB" w:eastAsia="de-DE"/>
        </w:rPr>
        <w:t xml:space="preserve"> supplemented by a specific concern for a fair distribution of value and, more specifically, a distribution to the advantage of the consumer.</w:t>
      </w:r>
    </w:p>
    <w:p w14:paraId="62481243" w14:textId="02E92443" w:rsidR="0060682B" w:rsidRDefault="0060682B"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In the CCD87, increasing the volume of the consumer credit market is conceived of as a win-win-win-win-win game, because it benefits “alike, consumers, grantors of credit, manufactures and retailers of goods and providers of services”</w:t>
      </w:r>
      <w:r w:rsidR="009563ED">
        <w:rPr>
          <w:rFonts w:ascii="Times New Roman" w:eastAsia="Times New Roman" w:hAnsi="Times New Roman" w:cs="Times New Roman"/>
          <w:color w:val="000000"/>
          <w:sz w:val="24"/>
          <w:szCs w:val="24"/>
          <w:shd w:val="clear" w:color="auto" w:fill="FFFFFF"/>
          <w:lang w:val="en-GB" w:eastAsia="de-DE"/>
        </w:rPr>
        <w:t>. However,</w:t>
      </w:r>
      <w:r>
        <w:rPr>
          <w:rFonts w:ascii="Times New Roman" w:eastAsia="Times New Roman" w:hAnsi="Times New Roman" w:cs="Times New Roman"/>
          <w:color w:val="000000"/>
          <w:sz w:val="24"/>
          <w:szCs w:val="24"/>
          <w:shd w:val="clear" w:color="auto" w:fill="FFFFFF"/>
          <w:lang w:val="en-GB" w:eastAsia="de-DE"/>
        </w:rPr>
        <w:t xml:space="preserve"> there is a general distinctive concern for the fact that “terms of credit may be disadvantageous to the consumer”</w:t>
      </w:r>
      <w:r w:rsidR="0004058D">
        <w:rPr>
          <w:rFonts w:ascii="Times New Roman" w:eastAsia="Times New Roman" w:hAnsi="Times New Roman" w:cs="Times New Roman"/>
          <w:color w:val="000000"/>
          <w:sz w:val="24"/>
          <w:szCs w:val="24"/>
          <w:shd w:val="clear" w:color="auto" w:fill="FFFFFF"/>
          <w:lang w:val="en-GB" w:eastAsia="de-DE"/>
        </w:rPr>
        <w:t xml:space="preserve"> (not for society as a whole)</w:t>
      </w:r>
      <w:r>
        <w:rPr>
          <w:rFonts w:ascii="Times New Roman" w:eastAsia="Times New Roman" w:hAnsi="Times New Roman" w:cs="Times New Roman"/>
          <w:color w:val="000000"/>
          <w:sz w:val="24"/>
          <w:szCs w:val="24"/>
          <w:shd w:val="clear" w:color="auto" w:fill="FFFFFF"/>
          <w:lang w:val="en-GB" w:eastAsia="de-DE"/>
        </w:rPr>
        <w:t xml:space="preserve">. </w:t>
      </w:r>
      <w:r w:rsidR="0004058D">
        <w:rPr>
          <w:rFonts w:ascii="Times New Roman" w:eastAsia="Times New Roman" w:hAnsi="Times New Roman" w:cs="Times New Roman"/>
          <w:color w:val="000000"/>
          <w:sz w:val="24"/>
          <w:szCs w:val="24"/>
          <w:shd w:val="clear" w:color="auto" w:fill="FFFFFF"/>
          <w:lang w:val="en-GB" w:eastAsia="de-DE"/>
        </w:rPr>
        <w:t>Instead</w:t>
      </w:r>
      <w:r>
        <w:rPr>
          <w:rFonts w:ascii="Times New Roman" w:eastAsia="Times New Roman" w:hAnsi="Times New Roman" w:cs="Times New Roman"/>
          <w:color w:val="000000"/>
          <w:sz w:val="24"/>
          <w:szCs w:val="24"/>
          <w:shd w:val="clear" w:color="auto" w:fill="FFFFFF"/>
          <w:lang w:val="en-GB" w:eastAsia="de-DE"/>
        </w:rPr>
        <w:t xml:space="preserve">, </w:t>
      </w:r>
      <w:r w:rsidR="0004058D">
        <w:rPr>
          <w:rFonts w:ascii="Times New Roman" w:eastAsia="Times New Roman" w:hAnsi="Times New Roman" w:cs="Times New Roman"/>
          <w:color w:val="000000"/>
          <w:sz w:val="24"/>
          <w:szCs w:val="24"/>
          <w:shd w:val="clear" w:color="auto" w:fill="FFFFFF"/>
          <w:lang w:val="en-GB" w:eastAsia="de-DE"/>
        </w:rPr>
        <w:t>i</w:t>
      </w:r>
      <w:r>
        <w:rPr>
          <w:rFonts w:ascii="Times New Roman" w:eastAsia="Times New Roman" w:hAnsi="Times New Roman" w:cs="Times New Roman"/>
          <w:color w:val="000000"/>
          <w:sz w:val="24"/>
          <w:szCs w:val="24"/>
          <w:shd w:val="clear" w:color="auto" w:fill="FFFFFF"/>
          <w:lang w:val="en-GB" w:eastAsia="de-DE"/>
        </w:rPr>
        <w:t>n the CCD, there is only a general reference to the “emergence of a well-functioning internal market for credit”.</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113"/>
      </w:r>
      <w:r>
        <w:rPr>
          <w:rFonts w:ascii="Times New Roman" w:eastAsia="Times New Roman" w:hAnsi="Times New Roman" w:cs="Times New Roman"/>
          <w:color w:val="000000"/>
          <w:sz w:val="24"/>
          <w:szCs w:val="24"/>
          <w:shd w:val="clear" w:color="auto" w:fill="FFFFFF"/>
          <w:lang w:val="en-GB" w:eastAsia="de-DE"/>
        </w:rPr>
        <w:t xml:space="preserve"> The theory of market rationale(s) remains completely implicit</w:t>
      </w:r>
      <w:r w:rsidR="0004058D">
        <w:rPr>
          <w:rFonts w:ascii="Times New Roman" w:eastAsia="Times New Roman" w:hAnsi="Times New Roman" w:cs="Times New Roman"/>
          <w:color w:val="000000"/>
          <w:sz w:val="24"/>
          <w:szCs w:val="24"/>
          <w:shd w:val="clear" w:color="auto" w:fill="FFFFFF"/>
          <w:lang w:val="en-GB" w:eastAsia="de-DE"/>
        </w:rPr>
        <w:t xml:space="preserve"> here</w:t>
      </w:r>
      <w:r>
        <w:rPr>
          <w:rFonts w:ascii="Times New Roman" w:eastAsia="Times New Roman" w:hAnsi="Times New Roman" w:cs="Times New Roman"/>
          <w:color w:val="000000"/>
          <w:sz w:val="24"/>
          <w:szCs w:val="24"/>
          <w:shd w:val="clear" w:color="auto" w:fill="FFFFFF"/>
          <w:lang w:val="en-GB" w:eastAsia="de-DE"/>
        </w:rPr>
        <w:t>. Finally, the MCD</w:t>
      </w:r>
      <w:r w:rsidR="001E7A38">
        <w:rPr>
          <w:rFonts w:ascii="Times New Roman" w:eastAsia="Times New Roman" w:hAnsi="Times New Roman" w:cs="Times New Roman"/>
          <w:color w:val="000000"/>
          <w:sz w:val="24"/>
          <w:szCs w:val="24"/>
          <w:shd w:val="clear" w:color="auto" w:fill="FFFFFF"/>
          <w:lang w:val="en-GB" w:eastAsia="de-DE"/>
        </w:rPr>
        <w:t xml:space="preserve"> opens with a powerful reference to the macro consequences of the financial crisis.</w:t>
      </w:r>
      <w:r w:rsidR="001E7A38">
        <w:rPr>
          <w:rStyle w:val="Rimandonotaapidipagina"/>
          <w:rFonts w:ascii="Times New Roman" w:eastAsia="Times New Roman" w:hAnsi="Times New Roman" w:cs="Times New Roman"/>
          <w:color w:val="000000"/>
          <w:sz w:val="24"/>
          <w:szCs w:val="24"/>
          <w:shd w:val="clear" w:color="auto" w:fill="FFFFFF"/>
          <w:lang w:val="en-GB" w:eastAsia="de-DE"/>
        </w:rPr>
        <w:footnoteReference w:id="114"/>
      </w:r>
      <w:r>
        <w:rPr>
          <w:rFonts w:ascii="Times New Roman" w:eastAsia="Times New Roman" w:hAnsi="Times New Roman" w:cs="Times New Roman"/>
          <w:color w:val="000000"/>
          <w:sz w:val="24"/>
          <w:szCs w:val="24"/>
          <w:shd w:val="clear" w:color="auto" w:fill="FFFFFF"/>
          <w:lang w:val="en-GB" w:eastAsia="de-DE"/>
        </w:rPr>
        <w:t xml:space="preserve"> </w:t>
      </w:r>
      <w:r w:rsidR="001E7A38">
        <w:rPr>
          <w:rFonts w:ascii="Times New Roman" w:eastAsia="Times New Roman" w:hAnsi="Times New Roman" w:cs="Times New Roman"/>
          <w:color w:val="000000"/>
          <w:sz w:val="24"/>
          <w:szCs w:val="24"/>
          <w:shd w:val="clear" w:color="auto" w:fill="FFFFFF"/>
          <w:lang w:val="en-GB" w:eastAsia="de-DE"/>
        </w:rPr>
        <w:t>The concern, however, is again richer: “The problems identified [in the mortgage markets within the Union] have potentially significant macroeconomic spill-over effects, can lead to consumer detriment, act as economic or legal barrier to cross-border activity and create an unlevel playing field between actors”.</w:t>
      </w:r>
      <w:r w:rsidR="001E7A38">
        <w:rPr>
          <w:rStyle w:val="Rimandonotaapidipagina"/>
          <w:rFonts w:ascii="Times New Roman" w:eastAsia="Times New Roman" w:hAnsi="Times New Roman" w:cs="Times New Roman"/>
          <w:color w:val="000000"/>
          <w:sz w:val="24"/>
          <w:szCs w:val="24"/>
          <w:shd w:val="clear" w:color="auto" w:fill="FFFFFF"/>
          <w:lang w:val="en-GB" w:eastAsia="de-DE"/>
        </w:rPr>
        <w:footnoteReference w:id="115"/>
      </w:r>
      <w:r w:rsidR="001E7A38">
        <w:rPr>
          <w:rFonts w:ascii="Times New Roman" w:eastAsia="Times New Roman" w:hAnsi="Times New Roman" w:cs="Times New Roman"/>
          <w:color w:val="000000"/>
          <w:sz w:val="24"/>
          <w:szCs w:val="24"/>
          <w:shd w:val="clear" w:color="auto" w:fill="FFFFFF"/>
          <w:lang w:val="en-GB" w:eastAsia="de-DE"/>
        </w:rPr>
        <w:t xml:space="preserve"> And the directive aims at “a more transparent, efficient and competitive internal market, through consistent, flexible and fair credit agreements to immovable property, while promoting sustainable lending and borrowing and financial inclusion, and hence providing a high level of consumer protection”.</w:t>
      </w:r>
      <w:r w:rsidR="001E7A38">
        <w:rPr>
          <w:rStyle w:val="Rimandonotaapidipagina"/>
          <w:rFonts w:ascii="Times New Roman" w:eastAsia="Times New Roman" w:hAnsi="Times New Roman" w:cs="Times New Roman"/>
          <w:color w:val="000000"/>
          <w:sz w:val="24"/>
          <w:szCs w:val="24"/>
          <w:shd w:val="clear" w:color="auto" w:fill="FFFFFF"/>
          <w:lang w:val="en-GB" w:eastAsia="de-DE"/>
        </w:rPr>
        <w:footnoteReference w:id="116"/>
      </w:r>
      <w:r w:rsidR="001E7A38">
        <w:rPr>
          <w:rFonts w:ascii="Times New Roman" w:eastAsia="Times New Roman" w:hAnsi="Times New Roman" w:cs="Times New Roman"/>
          <w:color w:val="000000"/>
          <w:sz w:val="24"/>
          <w:szCs w:val="24"/>
          <w:shd w:val="clear" w:color="auto" w:fill="FFFFFF"/>
          <w:lang w:val="en-GB" w:eastAsia="de-DE"/>
        </w:rPr>
        <w:t xml:space="preserve"> Recital (24), on tying and bundling practices</w:t>
      </w:r>
      <w:r w:rsidR="00812542">
        <w:rPr>
          <w:rFonts w:ascii="Times New Roman" w:eastAsia="Times New Roman" w:hAnsi="Times New Roman" w:cs="Times New Roman"/>
          <w:color w:val="000000"/>
          <w:sz w:val="24"/>
          <w:szCs w:val="24"/>
          <w:shd w:val="clear" w:color="auto" w:fill="FFFFFF"/>
          <w:lang w:val="en-GB" w:eastAsia="de-DE"/>
        </w:rPr>
        <w:t xml:space="preserve">, is particularly important </w:t>
      </w:r>
      <w:r w:rsidR="00D82256">
        <w:rPr>
          <w:rFonts w:ascii="Times New Roman" w:eastAsia="Times New Roman" w:hAnsi="Times New Roman" w:cs="Times New Roman"/>
          <w:color w:val="000000"/>
          <w:sz w:val="24"/>
          <w:szCs w:val="24"/>
          <w:shd w:val="clear" w:color="auto" w:fill="FFFFFF"/>
          <w:lang w:val="en-GB" w:eastAsia="de-DE"/>
        </w:rPr>
        <w:t xml:space="preserve"> </w:t>
      </w:r>
      <w:r w:rsidR="00812542">
        <w:rPr>
          <w:rFonts w:ascii="Times New Roman" w:eastAsia="Times New Roman" w:hAnsi="Times New Roman" w:cs="Times New Roman"/>
          <w:color w:val="000000"/>
          <w:sz w:val="24"/>
          <w:szCs w:val="24"/>
          <w:shd w:val="clear" w:color="auto" w:fill="FFFFFF"/>
          <w:lang w:val="en-GB" w:eastAsia="de-DE"/>
        </w:rPr>
        <w:t>is – for our inquiry –</w:t>
      </w:r>
      <w:r w:rsidR="001E7A38">
        <w:rPr>
          <w:rFonts w:ascii="Times New Roman" w:eastAsia="Times New Roman" w:hAnsi="Times New Roman" w:cs="Times New Roman"/>
          <w:color w:val="000000"/>
          <w:sz w:val="24"/>
          <w:szCs w:val="24"/>
          <w:shd w:val="clear" w:color="auto" w:fill="FFFFFF"/>
          <w:lang w:val="en-GB" w:eastAsia="de-DE"/>
        </w:rPr>
        <w:t>. In case of tied services – but not in case of bundle – the single services cannot be bought separately.</w:t>
      </w:r>
      <w:r w:rsidR="001E7A38">
        <w:rPr>
          <w:rStyle w:val="Rimandonotaapidipagina"/>
          <w:rFonts w:ascii="Times New Roman" w:eastAsia="Times New Roman" w:hAnsi="Times New Roman" w:cs="Times New Roman"/>
          <w:color w:val="000000"/>
          <w:sz w:val="24"/>
          <w:szCs w:val="24"/>
          <w:shd w:val="clear" w:color="auto" w:fill="FFFFFF"/>
          <w:lang w:val="en-GB" w:eastAsia="de-DE"/>
        </w:rPr>
        <w:footnoteReference w:id="117"/>
      </w:r>
      <w:r w:rsidR="001E7A38">
        <w:rPr>
          <w:rFonts w:ascii="Times New Roman" w:eastAsia="Times New Roman" w:hAnsi="Times New Roman" w:cs="Times New Roman"/>
          <w:color w:val="000000"/>
          <w:sz w:val="24"/>
          <w:szCs w:val="24"/>
          <w:shd w:val="clear" w:color="auto" w:fill="FFFFFF"/>
          <w:lang w:val="en-GB" w:eastAsia="de-DE"/>
        </w:rPr>
        <w:t xml:space="preserve"> While bundling can “benefit consumers” (not society as a whole), tying is generally banned by Art. 12 because, as the Recital explains, “may induce consumers to enter into credit agreements which are not in their best interest” (again, not of society as a whole).</w:t>
      </w:r>
      <w:r w:rsidR="0004058D">
        <w:rPr>
          <w:rFonts w:ascii="Times New Roman" w:eastAsia="Times New Roman" w:hAnsi="Times New Roman" w:cs="Times New Roman"/>
          <w:color w:val="000000"/>
          <w:sz w:val="24"/>
          <w:szCs w:val="24"/>
          <w:shd w:val="clear" w:color="auto" w:fill="FFFFFF"/>
          <w:lang w:val="en-GB" w:eastAsia="de-DE"/>
        </w:rPr>
        <w:t xml:space="preserve"> </w:t>
      </w:r>
    </w:p>
    <w:p w14:paraId="6F29AFC6" w14:textId="206D6051" w:rsidR="0004058D" w:rsidRDefault="0004058D" w:rsidP="008906D8">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Importantly for our purposes, the explicit references </w:t>
      </w:r>
      <w:r w:rsidR="00354707">
        <w:rPr>
          <w:rFonts w:ascii="Times New Roman" w:eastAsia="Times New Roman" w:hAnsi="Times New Roman" w:cs="Times New Roman"/>
          <w:color w:val="000000"/>
          <w:sz w:val="24"/>
          <w:szCs w:val="24"/>
          <w:shd w:val="clear" w:color="auto" w:fill="FFFFFF"/>
          <w:lang w:val="en-GB" w:eastAsia="de-DE"/>
        </w:rPr>
        <w:t>the</w:t>
      </w:r>
      <w:r>
        <w:rPr>
          <w:rFonts w:ascii="Times New Roman" w:eastAsia="Times New Roman" w:hAnsi="Times New Roman" w:cs="Times New Roman"/>
          <w:color w:val="000000"/>
          <w:sz w:val="24"/>
          <w:szCs w:val="24"/>
          <w:shd w:val="clear" w:color="auto" w:fill="FFFFFF"/>
          <w:lang w:val="en-GB" w:eastAsia="de-DE"/>
        </w:rPr>
        <w:t xml:space="preserve"> credit regulation </w:t>
      </w:r>
      <w:r w:rsidR="00354707">
        <w:rPr>
          <w:rFonts w:ascii="Times New Roman" w:eastAsia="Times New Roman" w:hAnsi="Times New Roman" w:cs="Times New Roman"/>
          <w:color w:val="000000"/>
          <w:sz w:val="24"/>
          <w:szCs w:val="24"/>
          <w:shd w:val="clear" w:color="auto" w:fill="FFFFFF"/>
          <w:lang w:val="en-GB" w:eastAsia="de-DE"/>
        </w:rPr>
        <w:t>enshrines</w:t>
      </w:r>
      <w:r>
        <w:rPr>
          <w:rFonts w:ascii="Times New Roman" w:eastAsia="Times New Roman" w:hAnsi="Times New Roman" w:cs="Times New Roman"/>
          <w:color w:val="000000"/>
          <w:sz w:val="24"/>
          <w:szCs w:val="24"/>
          <w:shd w:val="clear" w:color="auto" w:fill="FFFFFF"/>
          <w:lang w:val="en-GB" w:eastAsia="de-DE"/>
        </w:rPr>
        <w:t xml:space="preserve"> – as the theoretical framework discussed here holds –</w:t>
      </w:r>
      <w:r w:rsidR="00354707">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t>a macro concern for the enlargement of the market credit as a driver of growth</w:t>
      </w:r>
      <w:r w:rsidR="00354707">
        <w:rPr>
          <w:rFonts w:ascii="Times New Roman" w:eastAsia="Times New Roman" w:hAnsi="Times New Roman" w:cs="Times New Roman"/>
          <w:color w:val="000000"/>
          <w:sz w:val="24"/>
          <w:szCs w:val="24"/>
          <w:shd w:val="clear" w:color="auto" w:fill="FFFFFF"/>
          <w:lang w:val="en-GB" w:eastAsia="de-DE"/>
        </w:rPr>
        <w:t>, but also a micro concern for fair contracts in the best interest of consumers.</w:t>
      </w:r>
    </w:p>
    <w:p w14:paraId="40E9DF1F" w14:textId="77777777" w:rsidR="0060682B" w:rsidRDefault="0060682B" w:rsidP="008906D8">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p>
    <w:p w14:paraId="1AE36BF9" w14:textId="08F0BDC9" w:rsidR="00C54502" w:rsidRDefault="00EA52A2"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r>
        <w:rPr>
          <w:rFonts w:ascii="Times New Roman" w:eastAsia="Times New Roman" w:hAnsi="Times New Roman" w:cs="Times New Roman"/>
          <w:b/>
          <w:color w:val="000000"/>
          <w:sz w:val="24"/>
          <w:szCs w:val="24"/>
          <w:shd w:val="clear" w:color="auto" w:fill="FFFFFF"/>
          <w:lang w:val="en-GB" w:eastAsia="de-DE"/>
        </w:rPr>
        <w:t>2</w:t>
      </w:r>
      <w:r w:rsidR="00C54502" w:rsidRPr="00DA09BA">
        <w:rPr>
          <w:rFonts w:ascii="Times New Roman" w:eastAsia="Times New Roman" w:hAnsi="Times New Roman" w:cs="Times New Roman"/>
          <w:b/>
          <w:color w:val="000000"/>
          <w:sz w:val="24"/>
          <w:szCs w:val="24"/>
          <w:shd w:val="clear" w:color="auto" w:fill="FFFFFF"/>
          <w:lang w:val="en-GB" w:eastAsia="de-DE"/>
        </w:rPr>
        <w:t xml:space="preserve">. </w:t>
      </w:r>
      <w:r w:rsidR="006850A8" w:rsidRPr="00DA09BA">
        <w:rPr>
          <w:rFonts w:ascii="Times New Roman" w:eastAsia="Times New Roman" w:hAnsi="Times New Roman" w:cs="Times New Roman"/>
          <w:b/>
          <w:color w:val="000000"/>
          <w:sz w:val="24"/>
          <w:szCs w:val="24"/>
          <w:shd w:val="clear" w:color="auto" w:fill="FFFFFF"/>
          <w:lang w:val="en-GB" w:eastAsia="de-DE"/>
        </w:rPr>
        <w:t xml:space="preserve">Worthy </w:t>
      </w:r>
      <w:r w:rsidR="006850A8">
        <w:rPr>
          <w:rFonts w:ascii="Times New Roman" w:eastAsia="Times New Roman" w:hAnsi="Times New Roman" w:cs="Times New Roman"/>
          <w:b/>
          <w:color w:val="000000"/>
          <w:sz w:val="24"/>
          <w:szCs w:val="24"/>
          <w:shd w:val="clear" w:color="auto" w:fill="FFFFFF"/>
          <w:lang w:val="en-GB" w:eastAsia="de-DE"/>
        </w:rPr>
        <w:t>F</w:t>
      </w:r>
      <w:r w:rsidR="006850A8" w:rsidRPr="00DA09BA">
        <w:rPr>
          <w:rFonts w:ascii="Times New Roman" w:eastAsia="Times New Roman" w:hAnsi="Times New Roman" w:cs="Times New Roman"/>
          <w:b/>
          <w:color w:val="000000"/>
          <w:sz w:val="24"/>
          <w:szCs w:val="24"/>
          <w:shd w:val="clear" w:color="auto" w:fill="FFFFFF"/>
          <w:lang w:val="en-GB" w:eastAsia="de-DE"/>
        </w:rPr>
        <w:t xml:space="preserve">or </w:t>
      </w:r>
      <w:r w:rsidR="006850A8">
        <w:rPr>
          <w:rFonts w:ascii="Times New Roman" w:eastAsia="Times New Roman" w:hAnsi="Times New Roman" w:cs="Times New Roman"/>
          <w:b/>
          <w:color w:val="000000"/>
          <w:sz w:val="24"/>
          <w:szCs w:val="24"/>
          <w:shd w:val="clear" w:color="auto" w:fill="FFFFFF"/>
          <w:lang w:val="en-GB" w:eastAsia="de-DE"/>
        </w:rPr>
        <w:t>W</w:t>
      </w:r>
      <w:r w:rsidR="006850A8" w:rsidRPr="00DA09BA">
        <w:rPr>
          <w:rFonts w:ascii="Times New Roman" w:eastAsia="Times New Roman" w:hAnsi="Times New Roman" w:cs="Times New Roman"/>
          <w:b/>
          <w:color w:val="000000"/>
          <w:sz w:val="24"/>
          <w:szCs w:val="24"/>
          <w:shd w:val="clear" w:color="auto" w:fill="FFFFFF"/>
          <w:lang w:val="en-GB" w:eastAsia="de-DE"/>
        </w:rPr>
        <w:t xml:space="preserve">hom? Three </w:t>
      </w:r>
      <w:r w:rsidR="006850A8">
        <w:rPr>
          <w:rFonts w:ascii="Times New Roman" w:eastAsia="Times New Roman" w:hAnsi="Times New Roman" w:cs="Times New Roman"/>
          <w:b/>
          <w:color w:val="000000"/>
          <w:sz w:val="24"/>
          <w:szCs w:val="24"/>
          <w:shd w:val="clear" w:color="auto" w:fill="FFFFFF"/>
          <w:lang w:val="en-GB" w:eastAsia="de-DE"/>
        </w:rPr>
        <w:t>N</w:t>
      </w:r>
      <w:r w:rsidR="006850A8" w:rsidRPr="00DA09BA">
        <w:rPr>
          <w:rFonts w:ascii="Times New Roman" w:eastAsia="Times New Roman" w:hAnsi="Times New Roman" w:cs="Times New Roman"/>
          <w:b/>
          <w:color w:val="000000"/>
          <w:sz w:val="24"/>
          <w:szCs w:val="24"/>
          <w:shd w:val="clear" w:color="auto" w:fill="FFFFFF"/>
          <w:lang w:val="en-GB" w:eastAsia="de-DE"/>
        </w:rPr>
        <w:t xml:space="preserve">otions of </w:t>
      </w:r>
      <w:r w:rsidR="006850A8">
        <w:rPr>
          <w:rFonts w:ascii="Times New Roman" w:eastAsia="Times New Roman" w:hAnsi="Times New Roman" w:cs="Times New Roman"/>
          <w:b/>
          <w:color w:val="000000"/>
          <w:sz w:val="24"/>
          <w:szCs w:val="24"/>
          <w:shd w:val="clear" w:color="auto" w:fill="FFFFFF"/>
          <w:lang w:val="en-GB" w:eastAsia="de-DE"/>
        </w:rPr>
        <w:t>R</w:t>
      </w:r>
      <w:r w:rsidR="006850A8" w:rsidRPr="00DA09BA">
        <w:rPr>
          <w:rFonts w:ascii="Times New Roman" w:eastAsia="Times New Roman" w:hAnsi="Times New Roman" w:cs="Times New Roman"/>
          <w:b/>
          <w:color w:val="000000"/>
          <w:sz w:val="24"/>
          <w:szCs w:val="24"/>
          <w:shd w:val="clear" w:color="auto" w:fill="FFFFFF"/>
          <w:lang w:val="en-GB" w:eastAsia="de-DE"/>
        </w:rPr>
        <w:t xml:space="preserve">esponsible </w:t>
      </w:r>
      <w:r w:rsidR="006850A8">
        <w:rPr>
          <w:rFonts w:ascii="Times New Roman" w:eastAsia="Times New Roman" w:hAnsi="Times New Roman" w:cs="Times New Roman"/>
          <w:b/>
          <w:color w:val="000000"/>
          <w:sz w:val="24"/>
          <w:szCs w:val="24"/>
          <w:shd w:val="clear" w:color="auto" w:fill="FFFFFF"/>
          <w:lang w:val="en-GB" w:eastAsia="de-DE"/>
        </w:rPr>
        <w:t>L</w:t>
      </w:r>
      <w:r w:rsidR="006850A8" w:rsidRPr="00DA09BA">
        <w:rPr>
          <w:rFonts w:ascii="Times New Roman" w:eastAsia="Times New Roman" w:hAnsi="Times New Roman" w:cs="Times New Roman"/>
          <w:b/>
          <w:color w:val="000000"/>
          <w:sz w:val="24"/>
          <w:szCs w:val="24"/>
          <w:shd w:val="clear" w:color="auto" w:fill="FFFFFF"/>
          <w:lang w:val="en-GB" w:eastAsia="de-DE"/>
        </w:rPr>
        <w:t>ending</w:t>
      </w:r>
    </w:p>
    <w:p w14:paraId="20DBA2D3" w14:textId="77777777" w:rsidR="006850A8" w:rsidRPr="00DA09BA" w:rsidRDefault="006850A8"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p>
    <w:p w14:paraId="44FEBB54" w14:textId="3D8E7A30" w:rsidR="00E531E9" w:rsidRDefault="00E531E9"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The concept</w:t>
      </w:r>
      <w:r w:rsidR="00EA74C3">
        <w:rPr>
          <w:rFonts w:ascii="Times New Roman" w:eastAsia="Times New Roman" w:hAnsi="Times New Roman" w:cs="Times New Roman"/>
          <w:color w:val="000000"/>
          <w:sz w:val="24"/>
          <w:szCs w:val="24"/>
          <w:shd w:val="clear" w:color="auto" w:fill="FFFFFF"/>
          <w:lang w:val="en-GB" w:eastAsia="de-DE"/>
        </w:rPr>
        <w:t>s of responsible lending and creditworthiness assessment offer</w:t>
      </w:r>
      <w:r>
        <w:rPr>
          <w:rFonts w:ascii="Times New Roman" w:eastAsia="Times New Roman" w:hAnsi="Times New Roman" w:cs="Times New Roman"/>
          <w:color w:val="000000"/>
          <w:sz w:val="24"/>
          <w:szCs w:val="24"/>
          <w:shd w:val="clear" w:color="auto" w:fill="FFFFFF"/>
          <w:lang w:val="en-GB" w:eastAsia="de-DE"/>
        </w:rPr>
        <w:t xml:space="preserve"> a particularly telling standpoint for looking at the role the concern for the consumer plays in the design of credit regulation.</w:t>
      </w:r>
      <w:r w:rsidR="0020199C">
        <w:rPr>
          <w:rFonts w:ascii="Times New Roman" w:eastAsia="Times New Roman" w:hAnsi="Times New Roman" w:cs="Times New Roman"/>
          <w:color w:val="000000"/>
          <w:sz w:val="24"/>
          <w:szCs w:val="24"/>
          <w:shd w:val="clear" w:color="auto" w:fill="FFFFFF"/>
          <w:lang w:val="en-GB" w:eastAsia="de-DE"/>
        </w:rPr>
        <w:t xml:space="preserve"> At least</w:t>
      </w:r>
      <w:r w:rsidR="00B93C8D">
        <w:rPr>
          <w:rFonts w:ascii="Times New Roman" w:eastAsia="Times New Roman" w:hAnsi="Times New Roman" w:cs="Times New Roman"/>
          <w:color w:val="000000"/>
          <w:sz w:val="24"/>
          <w:szCs w:val="24"/>
          <w:shd w:val="clear" w:color="auto" w:fill="FFFFFF"/>
          <w:lang w:val="en-GB" w:eastAsia="de-DE"/>
        </w:rPr>
        <w:t xml:space="preserve"> three notions of responsible lending can be </w:t>
      </w:r>
      <w:r w:rsidR="00EA52A2">
        <w:rPr>
          <w:rFonts w:ascii="Times New Roman" w:eastAsia="Times New Roman" w:hAnsi="Times New Roman" w:cs="Times New Roman"/>
          <w:color w:val="000000"/>
          <w:sz w:val="24"/>
          <w:szCs w:val="24"/>
          <w:shd w:val="clear" w:color="auto" w:fill="FFFFFF"/>
          <w:lang w:val="en-GB" w:eastAsia="de-DE"/>
        </w:rPr>
        <w:t>conceptually distinguished</w:t>
      </w:r>
      <w:r w:rsidR="00B93C8D">
        <w:rPr>
          <w:rFonts w:ascii="Times New Roman" w:eastAsia="Times New Roman" w:hAnsi="Times New Roman" w:cs="Times New Roman"/>
          <w:color w:val="000000"/>
          <w:sz w:val="24"/>
          <w:szCs w:val="24"/>
          <w:shd w:val="clear" w:color="auto" w:fill="FFFFFF"/>
          <w:lang w:val="en-GB" w:eastAsia="de-DE"/>
        </w:rPr>
        <w:t>.</w:t>
      </w:r>
      <w:r w:rsidR="00D5644E">
        <w:rPr>
          <w:rStyle w:val="Rimandonotaapidipagina"/>
          <w:rFonts w:ascii="Times New Roman" w:eastAsia="Times New Roman" w:hAnsi="Times New Roman" w:cs="Times New Roman"/>
          <w:color w:val="000000"/>
          <w:sz w:val="24"/>
          <w:szCs w:val="24"/>
          <w:shd w:val="clear" w:color="auto" w:fill="FFFFFF"/>
          <w:lang w:val="en-GB" w:eastAsia="de-DE"/>
        </w:rPr>
        <w:footnoteReference w:id="118"/>
      </w:r>
      <w:r w:rsidR="00B93C8D">
        <w:rPr>
          <w:rFonts w:ascii="Times New Roman" w:eastAsia="Times New Roman" w:hAnsi="Times New Roman" w:cs="Times New Roman"/>
          <w:color w:val="000000"/>
          <w:sz w:val="24"/>
          <w:szCs w:val="24"/>
          <w:shd w:val="clear" w:color="auto" w:fill="FFFFFF"/>
          <w:lang w:val="en-GB" w:eastAsia="de-DE"/>
        </w:rPr>
        <w:t xml:space="preserve"> Each of them associates with different contents of the creditworthiness assessment. </w:t>
      </w:r>
      <w:r w:rsidR="002911D1" w:rsidRPr="00DA09BA">
        <w:rPr>
          <w:rFonts w:ascii="Times New Roman" w:eastAsia="Times New Roman" w:hAnsi="Times New Roman" w:cs="Times New Roman"/>
          <w:color w:val="000000"/>
          <w:sz w:val="24"/>
          <w:szCs w:val="24"/>
          <w:shd w:val="clear" w:color="auto" w:fill="FFFFFF"/>
          <w:lang w:val="en-GB" w:eastAsia="de-DE"/>
        </w:rPr>
        <w:t>It</w:t>
      </w:r>
      <w:r w:rsidR="0020199C">
        <w:rPr>
          <w:rFonts w:ascii="Times New Roman" w:eastAsia="Times New Roman" w:hAnsi="Times New Roman" w:cs="Times New Roman"/>
          <w:color w:val="000000"/>
          <w:sz w:val="24"/>
          <w:szCs w:val="24"/>
          <w:shd w:val="clear" w:color="auto" w:fill="FFFFFF"/>
          <w:lang w:val="en-GB" w:eastAsia="de-DE"/>
        </w:rPr>
        <w:t xml:space="preserve"> i</w:t>
      </w:r>
      <w:r w:rsidR="002911D1" w:rsidRPr="00DA09BA">
        <w:rPr>
          <w:rFonts w:ascii="Times New Roman" w:eastAsia="Times New Roman" w:hAnsi="Times New Roman" w:cs="Times New Roman"/>
          <w:color w:val="000000"/>
          <w:sz w:val="24"/>
          <w:szCs w:val="24"/>
          <w:shd w:val="clear" w:color="auto" w:fill="FFFFFF"/>
          <w:lang w:val="en-GB" w:eastAsia="de-DE"/>
        </w:rPr>
        <w:t xml:space="preserve">s possible to distinguish a prudential assessment, concerned </w:t>
      </w:r>
      <w:r w:rsidR="002911D1">
        <w:rPr>
          <w:rFonts w:ascii="Times New Roman" w:eastAsia="Times New Roman" w:hAnsi="Times New Roman" w:cs="Times New Roman"/>
          <w:color w:val="000000"/>
          <w:sz w:val="24"/>
          <w:szCs w:val="24"/>
          <w:shd w:val="clear" w:color="auto" w:fill="FFFFFF"/>
          <w:lang w:val="en-GB" w:eastAsia="de-DE"/>
        </w:rPr>
        <w:t xml:space="preserve">only </w:t>
      </w:r>
      <w:r w:rsidR="002911D1" w:rsidRPr="00DA09BA">
        <w:rPr>
          <w:rFonts w:ascii="Times New Roman" w:eastAsia="Times New Roman" w:hAnsi="Times New Roman" w:cs="Times New Roman"/>
          <w:color w:val="000000"/>
          <w:sz w:val="24"/>
          <w:szCs w:val="24"/>
          <w:shd w:val="clear" w:color="auto" w:fill="FFFFFF"/>
          <w:lang w:val="en-GB" w:eastAsia="de-DE"/>
        </w:rPr>
        <w:t>with the stability dimension</w:t>
      </w:r>
      <w:r w:rsidR="002911D1">
        <w:rPr>
          <w:rFonts w:ascii="Times New Roman" w:eastAsia="Times New Roman" w:hAnsi="Times New Roman" w:cs="Times New Roman"/>
          <w:color w:val="000000"/>
          <w:sz w:val="24"/>
          <w:szCs w:val="24"/>
          <w:shd w:val="clear" w:color="auto" w:fill="FFFFFF"/>
          <w:lang w:val="en-GB" w:eastAsia="de-DE"/>
        </w:rPr>
        <w:t>;</w:t>
      </w:r>
      <w:r w:rsidR="002911D1" w:rsidRPr="00DA09BA">
        <w:rPr>
          <w:rFonts w:ascii="Times New Roman" w:eastAsia="Times New Roman" w:hAnsi="Times New Roman" w:cs="Times New Roman"/>
          <w:color w:val="000000"/>
          <w:sz w:val="24"/>
          <w:szCs w:val="24"/>
          <w:shd w:val="clear" w:color="auto" w:fill="FFFFFF"/>
          <w:lang w:val="en-GB" w:eastAsia="de-DE"/>
        </w:rPr>
        <w:t xml:space="preserve"> an anti over-indebtessness </w:t>
      </w:r>
      <w:r w:rsidR="002911D1">
        <w:rPr>
          <w:rFonts w:ascii="Times New Roman" w:eastAsia="Times New Roman" w:hAnsi="Times New Roman" w:cs="Times New Roman"/>
          <w:color w:val="000000"/>
          <w:sz w:val="24"/>
          <w:szCs w:val="24"/>
          <w:shd w:val="clear" w:color="auto" w:fill="FFFFFF"/>
          <w:lang w:val="en-GB" w:eastAsia="de-DE"/>
        </w:rPr>
        <w:t xml:space="preserve">assessment, </w:t>
      </w:r>
      <w:r w:rsidR="002911D1" w:rsidRPr="00DA09BA">
        <w:rPr>
          <w:rFonts w:ascii="Times New Roman" w:eastAsia="Times New Roman" w:hAnsi="Times New Roman" w:cs="Times New Roman"/>
          <w:color w:val="000000"/>
          <w:sz w:val="24"/>
          <w:szCs w:val="24"/>
          <w:shd w:val="clear" w:color="auto" w:fill="FFFFFF"/>
          <w:lang w:val="en-GB" w:eastAsia="de-DE"/>
        </w:rPr>
        <w:t>limiting the consumer concern to the harshest consequences</w:t>
      </w:r>
      <w:r w:rsidR="0020199C">
        <w:rPr>
          <w:rFonts w:ascii="Times New Roman" w:eastAsia="Times New Roman" w:hAnsi="Times New Roman" w:cs="Times New Roman"/>
          <w:color w:val="000000"/>
          <w:sz w:val="24"/>
          <w:szCs w:val="24"/>
          <w:shd w:val="clear" w:color="auto" w:fill="FFFFFF"/>
          <w:lang w:val="en-GB" w:eastAsia="de-DE"/>
        </w:rPr>
        <w:t xml:space="preserve"> of a default</w:t>
      </w:r>
      <w:r w:rsidR="002911D1">
        <w:rPr>
          <w:rFonts w:ascii="Times New Roman" w:eastAsia="Times New Roman" w:hAnsi="Times New Roman" w:cs="Times New Roman"/>
          <w:color w:val="000000"/>
          <w:sz w:val="24"/>
          <w:szCs w:val="24"/>
          <w:shd w:val="clear" w:color="auto" w:fill="FFFFFF"/>
          <w:lang w:val="en-GB" w:eastAsia="de-DE"/>
        </w:rPr>
        <w:t>;</w:t>
      </w:r>
      <w:r w:rsidR="002911D1" w:rsidRPr="00DA09BA">
        <w:rPr>
          <w:rFonts w:ascii="Times New Roman" w:eastAsia="Times New Roman" w:hAnsi="Times New Roman" w:cs="Times New Roman"/>
          <w:color w:val="000000"/>
          <w:sz w:val="24"/>
          <w:szCs w:val="24"/>
          <w:shd w:val="clear" w:color="auto" w:fill="FFFFFF"/>
          <w:lang w:val="en-GB" w:eastAsia="de-DE"/>
        </w:rPr>
        <w:t xml:space="preserve"> and, finally, a</w:t>
      </w:r>
      <w:r w:rsidR="00CD615F">
        <w:rPr>
          <w:rFonts w:ascii="Times New Roman" w:eastAsia="Times New Roman" w:hAnsi="Times New Roman" w:cs="Times New Roman"/>
          <w:color w:val="000000"/>
          <w:sz w:val="24"/>
          <w:szCs w:val="24"/>
          <w:shd w:val="clear" w:color="auto" w:fill="FFFFFF"/>
          <w:lang w:val="en-GB" w:eastAsia="de-DE"/>
        </w:rPr>
        <w:t xml:space="preserve"> suitability</w:t>
      </w:r>
      <w:r w:rsidR="002911D1" w:rsidRPr="00DA09BA">
        <w:rPr>
          <w:rFonts w:ascii="Times New Roman" w:eastAsia="Times New Roman" w:hAnsi="Times New Roman" w:cs="Times New Roman"/>
          <w:color w:val="000000"/>
          <w:sz w:val="24"/>
          <w:szCs w:val="24"/>
          <w:shd w:val="clear" w:color="auto" w:fill="FFFFFF"/>
          <w:lang w:val="en-GB" w:eastAsia="de-DE"/>
        </w:rPr>
        <w:t xml:space="preserve"> assessment, which focuses on the likely reimbursement of the loan by the consumer</w:t>
      </w:r>
      <w:r w:rsidR="00EA52A2">
        <w:rPr>
          <w:rFonts w:ascii="Times New Roman" w:eastAsia="Times New Roman" w:hAnsi="Times New Roman" w:cs="Times New Roman"/>
          <w:color w:val="000000"/>
          <w:sz w:val="24"/>
          <w:szCs w:val="24"/>
          <w:shd w:val="clear" w:color="auto" w:fill="FFFFFF"/>
          <w:lang w:val="en-GB" w:eastAsia="de-DE"/>
        </w:rPr>
        <w:t>. T</w:t>
      </w:r>
      <w:r w:rsidR="00B93C8D">
        <w:rPr>
          <w:rFonts w:ascii="Times New Roman" w:eastAsia="Times New Roman" w:hAnsi="Times New Roman" w:cs="Times New Roman"/>
          <w:color w:val="000000"/>
          <w:sz w:val="24"/>
          <w:szCs w:val="24"/>
          <w:shd w:val="clear" w:color="auto" w:fill="FFFFFF"/>
          <w:lang w:val="en-GB" w:eastAsia="de-DE"/>
        </w:rPr>
        <w:t>he 2013 World Bank report on Responsible Lending</w:t>
      </w:r>
      <w:r w:rsidR="00EA52A2">
        <w:rPr>
          <w:rFonts w:ascii="Times New Roman" w:eastAsia="Times New Roman" w:hAnsi="Times New Roman" w:cs="Times New Roman"/>
          <w:color w:val="000000"/>
          <w:sz w:val="24"/>
          <w:szCs w:val="24"/>
          <w:shd w:val="clear" w:color="auto" w:fill="FFFFFF"/>
          <w:lang w:val="en-GB" w:eastAsia="de-DE"/>
        </w:rPr>
        <w:t xml:space="preserve"> is a good starting point for the discussion</w:t>
      </w:r>
      <w:r w:rsidR="00B93C8D">
        <w:rPr>
          <w:rFonts w:ascii="Times New Roman" w:eastAsia="Times New Roman" w:hAnsi="Times New Roman" w:cs="Times New Roman"/>
          <w:color w:val="000000"/>
          <w:sz w:val="24"/>
          <w:szCs w:val="24"/>
          <w:shd w:val="clear" w:color="auto" w:fill="FFFFFF"/>
          <w:lang w:val="en-GB" w:eastAsia="de-DE"/>
        </w:rPr>
        <w:t>.</w:t>
      </w:r>
    </w:p>
    <w:p w14:paraId="51264A57" w14:textId="6A37E5B4" w:rsidR="00E531E9" w:rsidRDefault="00EA52A2"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Initially, the report </w:t>
      </w:r>
      <w:r w:rsidR="0020199C">
        <w:rPr>
          <w:rFonts w:ascii="Times New Roman" w:eastAsia="Times New Roman" w:hAnsi="Times New Roman" w:cs="Times New Roman"/>
          <w:color w:val="000000"/>
          <w:sz w:val="24"/>
          <w:szCs w:val="24"/>
          <w:shd w:val="clear" w:color="auto" w:fill="FFFFFF"/>
          <w:lang w:val="en-GB" w:eastAsia="de-DE"/>
        </w:rPr>
        <w:t>links</w:t>
      </w:r>
      <w:r>
        <w:rPr>
          <w:rFonts w:ascii="Times New Roman" w:eastAsia="Times New Roman" w:hAnsi="Times New Roman" w:cs="Times New Roman"/>
          <w:color w:val="000000"/>
          <w:sz w:val="24"/>
          <w:szCs w:val="24"/>
          <w:shd w:val="clear" w:color="auto" w:fill="FFFFFF"/>
          <w:lang w:val="en-GB" w:eastAsia="de-DE"/>
        </w:rPr>
        <w:t xml:space="preserve"> responsible lending to the problem of over-indebtedness. Notably, for the World Bank, among others,</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119"/>
      </w:r>
      <w:r>
        <w:rPr>
          <w:rFonts w:ascii="Times New Roman" w:eastAsia="Times New Roman" w:hAnsi="Times New Roman" w:cs="Times New Roman"/>
          <w:color w:val="000000"/>
          <w:sz w:val="24"/>
          <w:szCs w:val="24"/>
          <w:shd w:val="clear" w:color="auto" w:fill="FFFFFF"/>
          <w:lang w:val="en-GB" w:eastAsia="de-DE"/>
        </w:rPr>
        <w:t xml:space="preserve"> the concept of over-indebtedness does not only have a financial dimension – the incapacity of meet</w:t>
      </w:r>
      <w:r w:rsidR="0020199C">
        <w:rPr>
          <w:rFonts w:ascii="Times New Roman" w:eastAsia="Times New Roman" w:hAnsi="Times New Roman" w:cs="Times New Roman"/>
          <w:color w:val="000000"/>
          <w:sz w:val="24"/>
          <w:szCs w:val="24"/>
          <w:shd w:val="clear" w:color="auto" w:fill="FFFFFF"/>
          <w:lang w:val="en-GB" w:eastAsia="de-DE"/>
        </w:rPr>
        <w:t xml:space="preserve">ing </w:t>
      </w:r>
      <w:r>
        <w:rPr>
          <w:rFonts w:ascii="Times New Roman" w:eastAsia="Times New Roman" w:hAnsi="Times New Roman" w:cs="Times New Roman"/>
          <w:color w:val="000000"/>
          <w:sz w:val="24"/>
          <w:szCs w:val="24"/>
          <w:shd w:val="clear" w:color="auto" w:fill="FFFFFF"/>
          <w:lang w:val="en-GB" w:eastAsia="de-DE"/>
        </w:rPr>
        <w:t xml:space="preserve"> one’s finan</w:t>
      </w:r>
      <w:r w:rsidR="0020199C">
        <w:rPr>
          <w:rFonts w:ascii="Times New Roman" w:eastAsia="Times New Roman" w:hAnsi="Times New Roman" w:cs="Times New Roman"/>
          <w:color w:val="000000"/>
          <w:sz w:val="24"/>
          <w:szCs w:val="24"/>
          <w:shd w:val="clear" w:color="auto" w:fill="FFFFFF"/>
          <w:lang w:val="en-GB" w:eastAsia="de-DE"/>
        </w:rPr>
        <w:t xml:space="preserve">cial obligations – but also a </w:t>
      </w:r>
      <w:r>
        <w:rPr>
          <w:rFonts w:ascii="Times New Roman" w:eastAsia="Times New Roman" w:hAnsi="Times New Roman" w:cs="Times New Roman"/>
          <w:color w:val="000000"/>
          <w:sz w:val="24"/>
          <w:szCs w:val="24"/>
          <w:shd w:val="clear" w:color="auto" w:fill="FFFFFF"/>
          <w:lang w:val="en-GB" w:eastAsia="de-DE"/>
        </w:rPr>
        <w:t>psychological dimension</w:t>
      </w:r>
      <w:r w:rsidR="002911D1">
        <w:rPr>
          <w:rFonts w:ascii="Times New Roman" w:eastAsia="Times New Roman" w:hAnsi="Times New Roman" w:cs="Times New Roman"/>
          <w:color w:val="000000"/>
          <w:sz w:val="24"/>
          <w:szCs w:val="24"/>
          <w:shd w:val="clear" w:color="auto" w:fill="FFFFFF"/>
          <w:lang w:val="en-GB" w:eastAsia="de-DE"/>
        </w:rPr>
        <w:t xml:space="preserve"> – “the stress that over-indebtedness causes”</w:t>
      </w:r>
      <w:r>
        <w:rPr>
          <w:rFonts w:ascii="Times New Roman" w:eastAsia="Times New Roman" w:hAnsi="Times New Roman" w:cs="Times New Roman"/>
          <w:color w:val="000000"/>
          <w:sz w:val="24"/>
          <w:szCs w:val="24"/>
          <w:shd w:val="clear" w:color="auto" w:fill="FFFFFF"/>
          <w:lang w:val="en-GB" w:eastAsia="de-DE"/>
        </w:rPr>
        <w:t>.</w:t>
      </w:r>
      <w:r w:rsidR="002911D1">
        <w:rPr>
          <w:rStyle w:val="Rimandonotaapidipagina"/>
          <w:rFonts w:ascii="Times New Roman" w:eastAsia="Times New Roman" w:hAnsi="Times New Roman" w:cs="Times New Roman"/>
          <w:color w:val="000000"/>
          <w:sz w:val="24"/>
          <w:szCs w:val="24"/>
          <w:shd w:val="clear" w:color="auto" w:fill="FFFFFF"/>
          <w:lang w:val="en-GB" w:eastAsia="de-DE"/>
        </w:rPr>
        <w:footnoteReference w:id="120"/>
      </w:r>
      <w:r w:rsidR="002911D1">
        <w:rPr>
          <w:rFonts w:ascii="Times New Roman" w:eastAsia="Times New Roman" w:hAnsi="Times New Roman" w:cs="Times New Roman"/>
          <w:color w:val="000000"/>
          <w:sz w:val="24"/>
          <w:szCs w:val="24"/>
          <w:shd w:val="clear" w:color="auto" w:fill="FFFFFF"/>
          <w:lang w:val="en-GB" w:eastAsia="de-DE"/>
        </w:rPr>
        <w:t xml:space="preserve"> In the more specific discussion of creditworthiness assessment, the report takes a clear position in favour of the prudential assessment: “The ultimate goal of creditworthiness assessment should be the verification that the borrower has sufficient assets or income to pay back the loan. … The creditworthiness assessment is thus a “creditor-focused” test, looking at the probability that the creditor will be repaid in full”.</w:t>
      </w:r>
      <w:r w:rsidR="002911D1">
        <w:rPr>
          <w:rStyle w:val="Rimandonotaapidipagina"/>
          <w:rFonts w:ascii="Times New Roman" w:eastAsia="Times New Roman" w:hAnsi="Times New Roman" w:cs="Times New Roman"/>
          <w:color w:val="000000"/>
          <w:sz w:val="24"/>
          <w:szCs w:val="24"/>
          <w:shd w:val="clear" w:color="auto" w:fill="FFFFFF"/>
          <w:lang w:val="en-GB" w:eastAsia="de-DE"/>
        </w:rPr>
        <w:footnoteReference w:id="121"/>
      </w:r>
      <w:r w:rsidR="00921F5F">
        <w:rPr>
          <w:rFonts w:ascii="Times New Roman" w:eastAsia="Times New Roman" w:hAnsi="Times New Roman" w:cs="Times New Roman"/>
          <w:color w:val="000000"/>
          <w:sz w:val="24"/>
          <w:szCs w:val="24"/>
          <w:shd w:val="clear" w:color="auto" w:fill="FFFFFF"/>
          <w:lang w:val="en-GB" w:eastAsia="de-DE"/>
        </w:rPr>
        <w:t xml:space="preserve"> Against this pure macro-based definition, in the next page, it is observed that “the repossession of the collateral is not considered a positive result from the point of view of responsible lending”.</w:t>
      </w:r>
      <w:r w:rsidR="00921F5F">
        <w:rPr>
          <w:rStyle w:val="Rimandonotaapidipagina"/>
          <w:rFonts w:ascii="Times New Roman" w:eastAsia="Times New Roman" w:hAnsi="Times New Roman" w:cs="Times New Roman"/>
          <w:color w:val="000000"/>
          <w:sz w:val="24"/>
          <w:szCs w:val="24"/>
          <w:shd w:val="clear" w:color="auto" w:fill="FFFFFF"/>
          <w:lang w:val="en-GB" w:eastAsia="de-DE"/>
        </w:rPr>
        <w:footnoteReference w:id="122"/>
      </w:r>
      <w:r w:rsidR="00921F5F">
        <w:rPr>
          <w:rFonts w:ascii="Times New Roman" w:eastAsia="Times New Roman" w:hAnsi="Times New Roman" w:cs="Times New Roman"/>
          <w:color w:val="000000"/>
          <w:sz w:val="24"/>
          <w:szCs w:val="24"/>
          <w:shd w:val="clear" w:color="auto" w:fill="FFFFFF"/>
          <w:lang w:val="en-GB" w:eastAsia="de-DE"/>
        </w:rPr>
        <w:t xml:space="preserve"> The obvious and unanswered question is “why does repossession matter?”. In fact, if the repossession ensures the full repayment of the creditor, it is hard to see what the problem is from the perspective of a creditor-focus test. </w:t>
      </w:r>
      <w:r w:rsidR="00CD615F">
        <w:rPr>
          <w:rFonts w:ascii="Times New Roman" w:eastAsia="Times New Roman" w:hAnsi="Times New Roman" w:cs="Times New Roman"/>
          <w:color w:val="000000"/>
          <w:sz w:val="24"/>
          <w:szCs w:val="24"/>
          <w:shd w:val="clear" w:color="auto" w:fill="FFFFFF"/>
          <w:lang w:val="en-GB" w:eastAsia="de-DE"/>
        </w:rPr>
        <w:t>The report then observes that “Understanding the limits in reasonable decision-making, some regulators go further” and introduce a suitability test</w:t>
      </w:r>
      <w:r w:rsidR="001520B9">
        <w:rPr>
          <w:rFonts w:ascii="Times New Roman" w:eastAsia="Times New Roman" w:hAnsi="Times New Roman" w:cs="Times New Roman"/>
          <w:color w:val="000000"/>
          <w:sz w:val="24"/>
          <w:szCs w:val="24"/>
          <w:shd w:val="clear" w:color="auto" w:fill="FFFFFF"/>
          <w:lang w:val="en-GB" w:eastAsia="de-DE"/>
        </w:rPr>
        <w:t>, which “looks at the lending issue from the borrower’s perspective”.</w:t>
      </w:r>
      <w:r w:rsidR="001520B9">
        <w:rPr>
          <w:rStyle w:val="Rimandonotaapidipagina"/>
          <w:rFonts w:ascii="Times New Roman" w:eastAsia="Times New Roman" w:hAnsi="Times New Roman" w:cs="Times New Roman"/>
          <w:color w:val="000000"/>
          <w:sz w:val="24"/>
          <w:szCs w:val="24"/>
          <w:shd w:val="clear" w:color="auto" w:fill="FFFFFF"/>
          <w:lang w:val="en-GB" w:eastAsia="de-DE"/>
        </w:rPr>
        <w:footnoteReference w:id="123"/>
      </w:r>
      <w:r w:rsidR="001520B9">
        <w:rPr>
          <w:rFonts w:ascii="Times New Roman" w:eastAsia="Times New Roman" w:hAnsi="Times New Roman" w:cs="Times New Roman"/>
          <w:color w:val="000000"/>
          <w:sz w:val="24"/>
          <w:szCs w:val="24"/>
          <w:shd w:val="clear" w:color="auto" w:fill="FFFFFF"/>
          <w:lang w:val="en-GB" w:eastAsia="de-DE"/>
        </w:rPr>
        <w:t xml:space="preserve"> The suitability test is composed of three elements: “consumer’s best interest, understanding of the product and long-term affordability”. The best interest test aims at advising the consumer on “which product – if any – is the most suitable to fulfil the specific needs of the consumer”. The understanding “test”</w:t>
      </w:r>
      <w:r w:rsidR="001520B9">
        <w:rPr>
          <w:rStyle w:val="Rimandonotaapidipagina"/>
          <w:rFonts w:ascii="Times New Roman" w:eastAsia="Times New Roman" w:hAnsi="Times New Roman" w:cs="Times New Roman"/>
          <w:color w:val="000000"/>
          <w:sz w:val="24"/>
          <w:szCs w:val="24"/>
          <w:shd w:val="clear" w:color="auto" w:fill="FFFFFF"/>
          <w:lang w:val="en-GB" w:eastAsia="de-DE"/>
        </w:rPr>
        <w:footnoteReference w:id="124"/>
      </w:r>
      <w:r w:rsidR="001520B9">
        <w:rPr>
          <w:rFonts w:ascii="Times New Roman" w:eastAsia="Times New Roman" w:hAnsi="Times New Roman" w:cs="Times New Roman"/>
          <w:color w:val="000000"/>
          <w:sz w:val="24"/>
          <w:szCs w:val="24"/>
          <w:shd w:val="clear" w:color="auto" w:fill="FFFFFF"/>
          <w:lang w:val="en-GB" w:eastAsia="de-DE"/>
        </w:rPr>
        <w:t xml:space="preserve"> focuses on the need to disclose and explain adequately the information about “product features, benefits and risks”. Finally, “The test of long-term affordability looks at how long-term risks the consumer may face could influence his ability to repay the loan”. The difference with the creditor-focused test is that </w:t>
      </w:r>
      <w:r w:rsidR="0020199C">
        <w:rPr>
          <w:rFonts w:ascii="Times New Roman" w:eastAsia="Times New Roman" w:hAnsi="Times New Roman" w:cs="Times New Roman"/>
          <w:color w:val="000000"/>
          <w:sz w:val="24"/>
          <w:szCs w:val="24"/>
          <w:shd w:val="clear" w:color="auto" w:fill="FFFFFF"/>
          <w:lang w:val="en-GB" w:eastAsia="de-DE"/>
        </w:rPr>
        <w:t>the long-term affordability test</w:t>
      </w:r>
      <w:r w:rsidR="001520B9">
        <w:rPr>
          <w:rFonts w:ascii="Times New Roman" w:eastAsia="Times New Roman" w:hAnsi="Times New Roman" w:cs="Times New Roman"/>
          <w:color w:val="000000"/>
          <w:sz w:val="24"/>
          <w:szCs w:val="24"/>
          <w:shd w:val="clear" w:color="auto" w:fill="FFFFFF"/>
          <w:lang w:val="en-GB" w:eastAsia="de-DE"/>
        </w:rPr>
        <w:t xml:space="preserve"> takes into account “the customer’s future” and the “general economic development”.</w:t>
      </w:r>
      <w:r w:rsidR="001520B9">
        <w:rPr>
          <w:rStyle w:val="Rimandonotaapidipagina"/>
          <w:rFonts w:ascii="Times New Roman" w:eastAsia="Times New Roman" w:hAnsi="Times New Roman" w:cs="Times New Roman"/>
          <w:color w:val="000000"/>
          <w:sz w:val="24"/>
          <w:szCs w:val="24"/>
          <w:shd w:val="clear" w:color="auto" w:fill="FFFFFF"/>
          <w:lang w:val="en-GB" w:eastAsia="de-DE"/>
        </w:rPr>
        <w:footnoteReference w:id="125"/>
      </w:r>
      <w:r w:rsidR="001520B9">
        <w:rPr>
          <w:rFonts w:ascii="Times New Roman" w:eastAsia="Times New Roman" w:hAnsi="Times New Roman" w:cs="Times New Roman"/>
          <w:color w:val="000000"/>
          <w:sz w:val="24"/>
          <w:szCs w:val="24"/>
          <w:shd w:val="clear" w:color="auto" w:fill="FFFFFF"/>
          <w:lang w:val="en-GB" w:eastAsia="de-DE"/>
        </w:rPr>
        <w:t xml:space="preserve"> One may wonder why the creditor-focused test does not have to take these elements into account. Be this as it may, one is </w:t>
      </w:r>
      <w:r w:rsidR="00024DDD">
        <w:rPr>
          <w:rFonts w:ascii="Times New Roman" w:eastAsia="Times New Roman" w:hAnsi="Times New Roman" w:cs="Times New Roman"/>
          <w:color w:val="000000"/>
          <w:sz w:val="24"/>
          <w:szCs w:val="24"/>
          <w:shd w:val="clear" w:color="auto" w:fill="FFFFFF"/>
          <w:lang w:val="en-GB" w:eastAsia="de-DE"/>
        </w:rPr>
        <w:t>more fundamentally</w:t>
      </w:r>
      <w:r w:rsidR="001520B9">
        <w:rPr>
          <w:rFonts w:ascii="Times New Roman" w:eastAsia="Times New Roman" w:hAnsi="Times New Roman" w:cs="Times New Roman"/>
          <w:color w:val="000000"/>
          <w:sz w:val="24"/>
          <w:szCs w:val="24"/>
          <w:shd w:val="clear" w:color="auto" w:fill="FFFFFF"/>
          <w:lang w:val="en-GB" w:eastAsia="de-DE"/>
        </w:rPr>
        <w:t xml:space="preserve"> left to wonder what the connection between these two tests and over-indebte</w:t>
      </w:r>
      <w:r w:rsidR="008906D8">
        <w:rPr>
          <w:rFonts w:ascii="Times New Roman" w:eastAsia="Times New Roman" w:hAnsi="Times New Roman" w:cs="Times New Roman"/>
          <w:color w:val="000000"/>
          <w:sz w:val="24"/>
          <w:szCs w:val="24"/>
          <w:shd w:val="clear" w:color="auto" w:fill="FFFFFF"/>
          <w:lang w:val="en-GB" w:eastAsia="de-DE"/>
        </w:rPr>
        <w:t>d</w:t>
      </w:r>
      <w:r w:rsidR="001520B9">
        <w:rPr>
          <w:rFonts w:ascii="Times New Roman" w:eastAsia="Times New Roman" w:hAnsi="Times New Roman" w:cs="Times New Roman"/>
          <w:color w:val="000000"/>
          <w:sz w:val="24"/>
          <w:szCs w:val="24"/>
          <w:shd w:val="clear" w:color="auto" w:fill="FFFFFF"/>
          <w:lang w:val="en-GB" w:eastAsia="de-DE"/>
        </w:rPr>
        <w:t>ness</w:t>
      </w:r>
      <w:r w:rsidR="00421D39">
        <w:rPr>
          <w:rFonts w:ascii="Times New Roman" w:eastAsia="Times New Roman" w:hAnsi="Times New Roman" w:cs="Times New Roman"/>
          <w:color w:val="000000"/>
          <w:sz w:val="24"/>
          <w:szCs w:val="24"/>
          <w:shd w:val="clear" w:color="auto" w:fill="FFFFFF"/>
          <w:lang w:val="en-GB" w:eastAsia="de-DE"/>
        </w:rPr>
        <w:t xml:space="preserve"> is</w:t>
      </w:r>
      <w:r w:rsidR="001520B9">
        <w:rPr>
          <w:rFonts w:ascii="Times New Roman" w:eastAsia="Times New Roman" w:hAnsi="Times New Roman" w:cs="Times New Roman"/>
          <w:color w:val="000000"/>
          <w:sz w:val="24"/>
          <w:szCs w:val="24"/>
          <w:shd w:val="clear" w:color="auto" w:fill="FFFFFF"/>
          <w:lang w:val="en-GB" w:eastAsia="de-DE"/>
        </w:rPr>
        <w:t>.</w:t>
      </w:r>
      <w:r w:rsidR="00421D39">
        <w:rPr>
          <w:rFonts w:ascii="Times New Roman" w:eastAsia="Times New Roman" w:hAnsi="Times New Roman" w:cs="Times New Roman"/>
          <w:color w:val="000000"/>
          <w:sz w:val="24"/>
          <w:szCs w:val="24"/>
          <w:shd w:val="clear" w:color="auto" w:fill="FFFFFF"/>
          <w:lang w:val="en-GB" w:eastAsia="de-DE"/>
        </w:rPr>
        <w:t xml:space="preserve"> In fact, it is possible to imagine an intermediate test where </w:t>
      </w:r>
      <w:r w:rsidR="0020199C">
        <w:rPr>
          <w:rFonts w:ascii="Times New Roman" w:eastAsia="Times New Roman" w:hAnsi="Times New Roman" w:cs="Times New Roman"/>
          <w:color w:val="000000"/>
          <w:sz w:val="24"/>
          <w:szCs w:val="24"/>
          <w:shd w:val="clear" w:color="auto" w:fill="FFFFFF"/>
          <w:lang w:val="en-GB" w:eastAsia="de-DE"/>
        </w:rPr>
        <w:t xml:space="preserve">– </w:t>
      </w:r>
      <w:r w:rsidR="00421D39">
        <w:rPr>
          <w:rFonts w:ascii="Times New Roman" w:eastAsia="Times New Roman" w:hAnsi="Times New Roman" w:cs="Times New Roman"/>
          <w:color w:val="000000"/>
          <w:sz w:val="24"/>
          <w:szCs w:val="24"/>
          <w:shd w:val="clear" w:color="auto" w:fill="FFFFFF"/>
          <w:lang w:val="en-GB" w:eastAsia="de-DE"/>
        </w:rPr>
        <w:t xml:space="preserve">rather than </w:t>
      </w:r>
      <w:r w:rsidR="0020199C">
        <w:rPr>
          <w:rFonts w:ascii="Times New Roman" w:eastAsia="Times New Roman" w:hAnsi="Times New Roman" w:cs="Times New Roman"/>
          <w:color w:val="000000"/>
          <w:sz w:val="24"/>
          <w:szCs w:val="24"/>
          <w:shd w:val="clear" w:color="auto" w:fill="FFFFFF"/>
          <w:lang w:val="en-GB" w:eastAsia="de-DE"/>
        </w:rPr>
        <w:t xml:space="preserve">searching for </w:t>
      </w:r>
      <w:r w:rsidR="00421D39">
        <w:rPr>
          <w:rFonts w:ascii="Times New Roman" w:eastAsia="Times New Roman" w:hAnsi="Times New Roman" w:cs="Times New Roman"/>
          <w:color w:val="000000"/>
          <w:sz w:val="24"/>
          <w:szCs w:val="24"/>
          <w:shd w:val="clear" w:color="auto" w:fill="FFFFFF"/>
          <w:lang w:val="en-GB" w:eastAsia="de-DE"/>
        </w:rPr>
        <w:t>the “most suitable” loan or one that does not harm the creditor</w:t>
      </w:r>
      <w:r w:rsidR="0020199C">
        <w:rPr>
          <w:rFonts w:ascii="Times New Roman" w:eastAsia="Times New Roman" w:hAnsi="Times New Roman" w:cs="Times New Roman"/>
          <w:color w:val="000000"/>
          <w:sz w:val="24"/>
          <w:szCs w:val="24"/>
          <w:shd w:val="clear" w:color="auto" w:fill="FFFFFF"/>
          <w:lang w:val="en-GB" w:eastAsia="de-DE"/>
        </w:rPr>
        <w:t xml:space="preserve"> –</w:t>
      </w:r>
      <w:r w:rsidR="00421D39">
        <w:rPr>
          <w:rFonts w:ascii="Times New Roman" w:eastAsia="Times New Roman" w:hAnsi="Times New Roman" w:cs="Times New Roman"/>
          <w:color w:val="000000"/>
          <w:sz w:val="24"/>
          <w:szCs w:val="24"/>
          <w:shd w:val="clear" w:color="auto" w:fill="FFFFFF"/>
          <w:lang w:val="en-GB" w:eastAsia="de-DE"/>
        </w:rPr>
        <w:t xml:space="preserve"> the </w:t>
      </w:r>
      <w:r w:rsidR="00421D39">
        <w:rPr>
          <w:rFonts w:ascii="Times New Roman" w:eastAsia="Times New Roman" w:hAnsi="Times New Roman" w:cs="Times New Roman"/>
          <w:color w:val="000000"/>
          <w:sz w:val="24"/>
          <w:szCs w:val="24"/>
          <w:shd w:val="clear" w:color="auto" w:fill="FFFFFF"/>
          <w:lang w:val="en-GB" w:eastAsia="de-DE"/>
        </w:rPr>
        <w:lastRenderedPageBreak/>
        <w:t>concern is merely that the consumer does not fall into over-indebtedness. From this perspective, repossession may or may not imply over-indebtedness</w:t>
      </w:r>
      <w:r w:rsidR="0020199C">
        <w:rPr>
          <w:rFonts w:ascii="Times New Roman" w:eastAsia="Times New Roman" w:hAnsi="Times New Roman" w:cs="Times New Roman"/>
          <w:color w:val="000000"/>
          <w:sz w:val="24"/>
          <w:szCs w:val="24"/>
          <w:shd w:val="clear" w:color="auto" w:fill="FFFFFF"/>
          <w:lang w:val="en-GB" w:eastAsia="de-DE"/>
        </w:rPr>
        <w:t>: it</w:t>
      </w:r>
      <w:r w:rsidR="00421D39">
        <w:rPr>
          <w:rFonts w:ascii="Times New Roman" w:eastAsia="Times New Roman" w:hAnsi="Times New Roman" w:cs="Times New Roman"/>
          <w:color w:val="000000"/>
          <w:sz w:val="24"/>
          <w:szCs w:val="24"/>
          <w:shd w:val="clear" w:color="auto" w:fill="FFFFFF"/>
          <w:lang w:val="en-GB" w:eastAsia="de-DE"/>
        </w:rPr>
        <w:t xml:space="preserve"> depend</w:t>
      </w:r>
      <w:r w:rsidR="0020199C">
        <w:rPr>
          <w:rFonts w:ascii="Times New Roman" w:eastAsia="Times New Roman" w:hAnsi="Times New Roman" w:cs="Times New Roman"/>
          <w:color w:val="000000"/>
          <w:sz w:val="24"/>
          <w:szCs w:val="24"/>
          <w:shd w:val="clear" w:color="auto" w:fill="FFFFFF"/>
          <w:lang w:val="en-GB" w:eastAsia="de-DE"/>
        </w:rPr>
        <w:t>s</w:t>
      </w:r>
      <w:r w:rsidR="00421D39">
        <w:rPr>
          <w:rFonts w:ascii="Times New Roman" w:eastAsia="Times New Roman" w:hAnsi="Times New Roman" w:cs="Times New Roman"/>
          <w:color w:val="000000"/>
          <w:sz w:val="24"/>
          <w:szCs w:val="24"/>
          <w:shd w:val="clear" w:color="auto" w:fill="FFFFFF"/>
          <w:lang w:val="en-GB" w:eastAsia="de-DE"/>
        </w:rPr>
        <w:t xml:space="preserve"> on </w:t>
      </w:r>
      <w:r w:rsidR="0020199C">
        <w:rPr>
          <w:rFonts w:ascii="Times New Roman" w:eastAsia="Times New Roman" w:hAnsi="Times New Roman" w:cs="Times New Roman"/>
          <w:color w:val="000000"/>
          <w:sz w:val="24"/>
          <w:szCs w:val="24"/>
          <w:shd w:val="clear" w:color="auto" w:fill="FFFFFF"/>
          <w:lang w:val="en-GB" w:eastAsia="de-DE"/>
        </w:rPr>
        <w:t>impact of the repossession on the consumer’s overall economic condition</w:t>
      </w:r>
      <w:r w:rsidR="00421D39">
        <w:rPr>
          <w:rFonts w:ascii="Times New Roman" w:eastAsia="Times New Roman" w:hAnsi="Times New Roman" w:cs="Times New Roman"/>
          <w:color w:val="000000"/>
          <w:sz w:val="24"/>
          <w:szCs w:val="24"/>
          <w:shd w:val="clear" w:color="auto" w:fill="FFFFFF"/>
          <w:lang w:val="en-GB" w:eastAsia="de-DE"/>
        </w:rPr>
        <w:t>.</w:t>
      </w:r>
      <w:r w:rsidR="0020199C">
        <w:rPr>
          <w:rFonts w:ascii="Times New Roman" w:eastAsia="Times New Roman" w:hAnsi="Times New Roman" w:cs="Times New Roman"/>
          <w:color w:val="000000"/>
          <w:sz w:val="24"/>
          <w:szCs w:val="24"/>
          <w:shd w:val="clear" w:color="auto" w:fill="FFFFFF"/>
          <w:lang w:val="en-GB" w:eastAsia="de-DE"/>
        </w:rPr>
        <w:t xml:space="preserve"> </w:t>
      </w:r>
      <w:r w:rsidR="00421D39">
        <w:rPr>
          <w:rFonts w:ascii="Times New Roman" w:eastAsia="Times New Roman" w:hAnsi="Times New Roman" w:cs="Times New Roman"/>
          <w:color w:val="000000"/>
          <w:sz w:val="24"/>
          <w:szCs w:val="24"/>
          <w:shd w:val="clear" w:color="auto" w:fill="FFFFFF"/>
          <w:lang w:val="en-GB" w:eastAsia="de-DE"/>
        </w:rPr>
        <w:t xml:space="preserve">Now that the three categories have been identified with some precision, it is possible to </w:t>
      </w:r>
      <w:r w:rsidR="006E3794">
        <w:rPr>
          <w:rFonts w:ascii="Times New Roman" w:eastAsia="Times New Roman" w:hAnsi="Times New Roman" w:cs="Times New Roman"/>
          <w:color w:val="000000"/>
          <w:sz w:val="24"/>
          <w:szCs w:val="24"/>
          <w:shd w:val="clear" w:color="auto" w:fill="FFFFFF"/>
          <w:lang w:val="en-GB" w:eastAsia="de-DE"/>
        </w:rPr>
        <w:t>discuss</w:t>
      </w:r>
      <w:r w:rsidR="00421D39">
        <w:rPr>
          <w:rFonts w:ascii="Times New Roman" w:eastAsia="Times New Roman" w:hAnsi="Times New Roman" w:cs="Times New Roman"/>
          <w:color w:val="000000"/>
          <w:sz w:val="24"/>
          <w:szCs w:val="24"/>
          <w:shd w:val="clear" w:color="auto" w:fill="FFFFFF"/>
          <w:lang w:val="en-GB" w:eastAsia="de-DE"/>
        </w:rPr>
        <w:t xml:space="preserve"> what kind of creditworthiness assessment has been introduced with the CCD and the MCD.</w:t>
      </w:r>
      <w:r w:rsidR="006E3794">
        <w:rPr>
          <w:rFonts w:ascii="Times New Roman" w:eastAsia="Times New Roman" w:hAnsi="Times New Roman" w:cs="Times New Roman"/>
          <w:color w:val="000000"/>
          <w:sz w:val="24"/>
          <w:szCs w:val="24"/>
          <w:shd w:val="clear" w:color="auto" w:fill="FFFFFF"/>
          <w:lang w:val="en-GB" w:eastAsia="de-DE"/>
        </w:rPr>
        <w:t xml:space="preserve"> </w:t>
      </w:r>
    </w:p>
    <w:p w14:paraId="6CDEF3B1" w14:textId="0E4E743B" w:rsidR="006E3794" w:rsidRDefault="006E3794"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The CCD establishes that the creditor has the duty to assess the creditworthiness of a consumer “on the basis of sufficient information” without giving any guidance neither on what is the aim of the assessment nor the legal consequences of its negative result nor of the lack thereof. As shown by the </w:t>
      </w:r>
      <w:r w:rsidR="008A0CFB" w:rsidRPr="00DA09BA">
        <w:rPr>
          <w:rFonts w:ascii="Times New Roman" w:eastAsia="Times New Roman" w:hAnsi="Times New Roman" w:cs="Times New Roman"/>
          <w:i/>
          <w:color w:val="000000"/>
          <w:sz w:val="24"/>
          <w:szCs w:val="24"/>
          <w:shd w:val="clear" w:color="auto" w:fill="FFFFFF"/>
          <w:lang w:val="en-GB" w:eastAsia="de-DE"/>
        </w:rPr>
        <w:t>Kalhan</w:t>
      </w:r>
      <w:r>
        <w:rPr>
          <w:rFonts w:ascii="Times New Roman" w:eastAsia="Times New Roman" w:hAnsi="Times New Roman" w:cs="Times New Roman"/>
          <w:color w:val="000000"/>
          <w:sz w:val="24"/>
          <w:szCs w:val="24"/>
          <w:shd w:val="clear" w:color="auto" w:fill="FFFFFF"/>
          <w:lang w:val="en-GB" w:eastAsia="de-DE"/>
        </w:rPr>
        <w:t xml:space="preserve"> case,</w:t>
      </w:r>
      <w:r w:rsidR="008A0CFB">
        <w:rPr>
          <w:rStyle w:val="Rimandonotaapidipagina"/>
          <w:rFonts w:ascii="Times New Roman" w:eastAsia="Times New Roman" w:hAnsi="Times New Roman" w:cs="Times New Roman"/>
          <w:color w:val="000000"/>
          <w:sz w:val="24"/>
          <w:szCs w:val="24"/>
          <w:shd w:val="clear" w:color="auto" w:fill="FFFFFF"/>
          <w:lang w:val="en-GB" w:eastAsia="de-DE"/>
        </w:rPr>
        <w:footnoteReference w:id="126"/>
      </w:r>
      <w:r>
        <w:rPr>
          <w:rFonts w:ascii="Times New Roman" w:eastAsia="Times New Roman" w:hAnsi="Times New Roman" w:cs="Times New Roman"/>
          <w:color w:val="000000"/>
          <w:sz w:val="24"/>
          <w:szCs w:val="24"/>
          <w:shd w:val="clear" w:color="auto" w:fill="FFFFFF"/>
          <w:lang w:val="en-GB" w:eastAsia="de-DE"/>
        </w:rPr>
        <w:t xml:space="preserve"> this can lead to the paradoxical conse</w:t>
      </w:r>
      <w:r w:rsidR="008B5BFC">
        <w:rPr>
          <w:rFonts w:ascii="Times New Roman" w:eastAsia="Times New Roman" w:hAnsi="Times New Roman" w:cs="Times New Roman"/>
          <w:color w:val="000000"/>
          <w:sz w:val="24"/>
          <w:szCs w:val="24"/>
          <w:shd w:val="clear" w:color="auto" w:fill="FFFFFF"/>
          <w:lang w:val="en-GB" w:eastAsia="de-DE"/>
        </w:rPr>
        <w:t xml:space="preserve">quence that, after the implementation of the CCD, </w:t>
      </w:r>
      <w:r>
        <w:rPr>
          <w:rFonts w:ascii="Times New Roman" w:eastAsia="Times New Roman" w:hAnsi="Times New Roman" w:cs="Times New Roman"/>
          <w:color w:val="000000"/>
          <w:sz w:val="24"/>
          <w:szCs w:val="24"/>
          <w:shd w:val="clear" w:color="auto" w:fill="FFFFFF"/>
          <w:lang w:val="en-GB" w:eastAsia="de-DE"/>
        </w:rPr>
        <w:t>the unassessed defaulted debtor has to pay the entire loaned sum immediately and with an interest rate substantially identical to the contractual one.</w:t>
      </w:r>
      <w:r w:rsidR="008B5BFC">
        <w:rPr>
          <w:rFonts w:ascii="Times New Roman" w:eastAsia="Times New Roman" w:hAnsi="Times New Roman" w:cs="Times New Roman"/>
          <w:color w:val="000000"/>
          <w:sz w:val="24"/>
          <w:szCs w:val="24"/>
          <w:shd w:val="clear" w:color="auto" w:fill="FFFFFF"/>
          <w:lang w:val="en-GB" w:eastAsia="de-DE"/>
        </w:rPr>
        <w:t xml:space="preserve"> This generic provision on responsible lending is unsurprising once the odyssey of this directive (proposed in 2002 and approved with </w:t>
      </w:r>
      <w:r w:rsidR="0020199C">
        <w:rPr>
          <w:rFonts w:ascii="Times New Roman" w:eastAsia="Times New Roman" w:hAnsi="Times New Roman" w:cs="Times New Roman"/>
          <w:color w:val="000000"/>
          <w:sz w:val="24"/>
          <w:szCs w:val="24"/>
          <w:shd w:val="clear" w:color="auto" w:fill="FFFFFF"/>
          <w:lang w:val="en-GB" w:eastAsia="de-DE"/>
        </w:rPr>
        <w:t xml:space="preserve">weakening </w:t>
      </w:r>
      <w:r w:rsidR="008B5BFC">
        <w:rPr>
          <w:rFonts w:ascii="Times New Roman" w:eastAsia="Times New Roman" w:hAnsi="Times New Roman" w:cs="Times New Roman"/>
          <w:color w:val="000000"/>
          <w:sz w:val="24"/>
          <w:szCs w:val="24"/>
          <w:shd w:val="clear" w:color="auto" w:fill="FFFFFF"/>
          <w:lang w:val="en-GB" w:eastAsia="de-DE"/>
        </w:rPr>
        <w:t>revisions in 2008).</w:t>
      </w:r>
      <w:r w:rsidR="0020199C">
        <w:rPr>
          <w:rStyle w:val="Rimandonotaapidipagina"/>
          <w:rFonts w:ascii="Times New Roman" w:eastAsia="Times New Roman" w:hAnsi="Times New Roman" w:cs="Times New Roman"/>
          <w:color w:val="000000"/>
          <w:sz w:val="24"/>
          <w:szCs w:val="24"/>
          <w:shd w:val="clear" w:color="auto" w:fill="FFFFFF"/>
          <w:lang w:val="en-GB" w:eastAsia="de-DE"/>
        </w:rPr>
        <w:footnoteReference w:id="127"/>
      </w:r>
      <w:r w:rsidR="008B5BFC">
        <w:rPr>
          <w:rFonts w:ascii="Times New Roman" w:eastAsia="Times New Roman" w:hAnsi="Times New Roman" w:cs="Times New Roman"/>
          <w:color w:val="000000"/>
          <w:sz w:val="24"/>
          <w:szCs w:val="24"/>
          <w:shd w:val="clear" w:color="auto" w:fill="FFFFFF"/>
          <w:lang w:val="en-GB" w:eastAsia="de-DE"/>
        </w:rPr>
        <w:t xml:space="preserve"> Be this as it may, at least one element of the suitability test described in the World Bank report is present. It consists </w:t>
      </w:r>
      <w:r w:rsidR="00095220">
        <w:rPr>
          <w:rFonts w:ascii="Times New Roman" w:eastAsia="Times New Roman" w:hAnsi="Times New Roman" w:cs="Times New Roman"/>
          <w:color w:val="000000"/>
          <w:sz w:val="24"/>
          <w:szCs w:val="24"/>
          <w:shd w:val="clear" w:color="auto" w:fill="FFFFFF"/>
          <w:lang w:val="en-GB" w:eastAsia="de-DE"/>
        </w:rPr>
        <w:t>i</w:t>
      </w:r>
      <w:r w:rsidR="008B5BFC">
        <w:rPr>
          <w:rFonts w:ascii="Times New Roman" w:eastAsia="Times New Roman" w:hAnsi="Times New Roman" w:cs="Times New Roman"/>
          <w:color w:val="000000"/>
          <w:sz w:val="24"/>
          <w:szCs w:val="24"/>
          <w:shd w:val="clear" w:color="auto" w:fill="FFFFFF"/>
          <w:lang w:val="en-GB" w:eastAsia="de-DE"/>
        </w:rPr>
        <w:t xml:space="preserve">n an extensive regulation of information disclosure – which is </w:t>
      </w:r>
      <w:r w:rsidR="00095220">
        <w:rPr>
          <w:rFonts w:ascii="Times New Roman" w:eastAsia="Times New Roman" w:hAnsi="Times New Roman" w:cs="Times New Roman"/>
          <w:color w:val="000000"/>
          <w:sz w:val="24"/>
          <w:szCs w:val="24"/>
          <w:shd w:val="clear" w:color="auto" w:fill="FFFFFF"/>
          <w:lang w:val="en-GB" w:eastAsia="de-DE"/>
        </w:rPr>
        <w:t>rather</w:t>
      </w:r>
      <w:r w:rsidR="008B5BFC">
        <w:rPr>
          <w:rFonts w:ascii="Times New Roman" w:eastAsia="Times New Roman" w:hAnsi="Times New Roman" w:cs="Times New Roman"/>
          <w:color w:val="000000"/>
          <w:sz w:val="24"/>
          <w:szCs w:val="24"/>
          <w:shd w:val="clear" w:color="auto" w:fill="FFFFFF"/>
          <w:lang w:val="en-GB" w:eastAsia="de-DE"/>
        </w:rPr>
        <w:t xml:space="preserve"> interesting from the perspective of behavioural analysis</w:t>
      </w:r>
      <w:r w:rsidR="008B5BFC">
        <w:rPr>
          <w:rStyle w:val="Rimandonotaapidipagina"/>
          <w:rFonts w:ascii="Times New Roman" w:eastAsia="Times New Roman" w:hAnsi="Times New Roman" w:cs="Times New Roman"/>
          <w:color w:val="000000"/>
          <w:sz w:val="24"/>
          <w:szCs w:val="24"/>
          <w:shd w:val="clear" w:color="auto" w:fill="FFFFFF"/>
          <w:lang w:val="en-GB" w:eastAsia="de-DE"/>
        </w:rPr>
        <w:footnoteReference w:id="128"/>
      </w:r>
      <w:r w:rsidR="008B5BFC">
        <w:rPr>
          <w:rFonts w:ascii="Times New Roman" w:eastAsia="Times New Roman" w:hAnsi="Times New Roman" w:cs="Times New Roman"/>
          <w:color w:val="000000"/>
          <w:sz w:val="24"/>
          <w:szCs w:val="24"/>
          <w:shd w:val="clear" w:color="auto" w:fill="FFFFFF"/>
          <w:lang w:val="en-GB" w:eastAsia="de-DE"/>
        </w:rPr>
        <w:t xml:space="preserve"> – </w:t>
      </w:r>
      <w:r w:rsidR="0020199C">
        <w:rPr>
          <w:rFonts w:ascii="Times New Roman" w:eastAsia="Times New Roman" w:hAnsi="Times New Roman" w:cs="Times New Roman"/>
          <w:color w:val="000000"/>
          <w:sz w:val="24"/>
          <w:szCs w:val="24"/>
          <w:shd w:val="clear" w:color="auto" w:fill="FFFFFF"/>
          <w:lang w:val="en-GB" w:eastAsia="de-DE"/>
        </w:rPr>
        <w:t>which</w:t>
      </w:r>
      <w:r w:rsidR="008B5BFC">
        <w:rPr>
          <w:rFonts w:ascii="Times New Roman" w:eastAsia="Times New Roman" w:hAnsi="Times New Roman" w:cs="Times New Roman"/>
          <w:color w:val="000000"/>
          <w:sz w:val="24"/>
          <w:szCs w:val="24"/>
          <w:shd w:val="clear" w:color="auto" w:fill="FFFFFF"/>
          <w:lang w:val="en-GB" w:eastAsia="de-DE"/>
        </w:rPr>
        <w:t xml:space="preserve"> includes a duty to explain (Art. 5(6)). The CCD thus contains the </w:t>
      </w:r>
      <w:r w:rsidR="00095220">
        <w:rPr>
          <w:rFonts w:ascii="Times New Roman" w:eastAsia="Times New Roman" w:hAnsi="Times New Roman" w:cs="Times New Roman"/>
          <w:color w:val="000000"/>
          <w:sz w:val="24"/>
          <w:szCs w:val="24"/>
          <w:shd w:val="clear" w:color="auto" w:fill="FFFFFF"/>
          <w:lang w:val="en-GB" w:eastAsia="de-DE"/>
        </w:rPr>
        <w:t xml:space="preserve">World Bank’s report </w:t>
      </w:r>
      <w:r w:rsidR="008B5BFC">
        <w:rPr>
          <w:rFonts w:ascii="Times New Roman" w:eastAsia="Times New Roman" w:hAnsi="Times New Roman" w:cs="Times New Roman"/>
          <w:color w:val="000000"/>
          <w:sz w:val="24"/>
          <w:szCs w:val="24"/>
          <w:shd w:val="clear" w:color="auto" w:fill="FFFFFF"/>
          <w:lang w:val="en-GB" w:eastAsia="de-DE"/>
        </w:rPr>
        <w:t>understanding test. Indeed, this is not a great result, as information disclosure is the core of the empowerment pillar of consumer policy.</w:t>
      </w:r>
    </w:p>
    <w:p w14:paraId="50477D8D" w14:textId="08A5A18A" w:rsidR="00095220" w:rsidRDefault="00095220"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The MCD has a much more structured </w:t>
      </w:r>
      <w:r w:rsidR="00054D2A">
        <w:rPr>
          <w:rFonts w:ascii="Times New Roman" w:eastAsia="Times New Roman" w:hAnsi="Times New Roman" w:cs="Times New Roman"/>
          <w:color w:val="000000"/>
          <w:sz w:val="24"/>
          <w:szCs w:val="24"/>
          <w:shd w:val="clear" w:color="auto" w:fill="FFFFFF"/>
          <w:lang w:val="en-GB" w:eastAsia="de-DE"/>
        </w:rPr>
        <w:t xml:space="preserve">notion of responsible lending. Moreover, </w:t>
      </w:r>
      <w:r w:rsidR="002E1CA2">
        <w:rPr>
          <w:rFonts w:ascii="Times New Roman" w:eastAsia="Times New Roman" w:hAnsi="Times New Roman" w:cs="Times New Roman"/>
          <w:color w:val="000000"/>
          <w:sz w:val="24"/>
          <w:szCs w:val="24"/>
          <w:shd w:val="clear" w:color="auto" w:fill="FFFFFF"/>
          <w:lang w:val="en-GB" w:eastAsia="de-DE"/>
        </w:rPr>
        <w:t>in Recital (55) “Member States … should be encouraged to implement the Financial Stability Board’s Principles for Sound Residential Mortgage Underwriting Practices”</w:t>
      </w:r>
      <w:r w:rsidR="00054D2A">
        <w:rPr>
          <w:rFonts w:ascii="Times New Roman" w:eastAsia="Times New Roman" w:hAnsi="Times New Roman" w:cs="Times New Roman"/>
          <w:color w:val="000000"/>
          <w:sz w:val="24"/>
          <w:szCs w:val="24"/>
          <w:shd w:val="clear" w:color="auto" w:fill="FFFFFF"/>
          <w:lang w:val="en-GB" w:eastAsia="de-DE"/>
        </w:rPr>
        <w:t>.</w:t>
      </w:r>
      <w:r w:rsidR="002E1CA2">
        <w:rPr>
          <w:rFonts w:ascii="Times New Roman" w:eastAsia="Times New Roman" w:hAnsi="Times New Roman" w:cs="Times New Roman"/>
          <w:color w:val="000000"/>
          <w:sz w:val="24"/>
          <w:szCs w:val="24"/>
          <w:shd w:val="clear" w:color="auto" w:fill="FFFFFF"/>
          <w:lang w:val="en-GB" w:eastAsia="de-DE"/>
        </w:rPr>
        <w:t xml:space="preserve"> Accordingly, the European Banking Authority has issued in 2015 the Guidelines on creditworthiness assessment (EBA Guidelines). </w:t>
      </w:r>
      <w:r w:rsidR="0073027F">
        <w:rPr>
          <w:rFonts w:ascii="Times New Roman" w:eastAsia="Times New Roman" w:hAnsi="Times New Roman" w:cs="Times New Roman"/>
          <w:color w:val="000000"/>
          <w:sz w:val="24"/>
          <w:szCs w:val="24"/>
          <w:shd w:val="clear" w:color="auto" w:fill="FFFFFF"/>
          <w:lang w:val="en-GB" w:eastAsia="de-DE"/>
        </w:rPr>
        <w:t>Notably</w:t>
      </w:r>
      <w:r w:rsidR="002E1CA2">
        <w:rPr>
          <w:rFonts w:ascii="Times New Roman" w:eastAsia="Times New Roman" w:hAnsi="Times New Roman" w:cs="Times New Roman"/>
          <w:color w:val="000000"/>
          <w:sz w:val="24"/>
          <w:szCs w:val="24"/>
          <w:shd w:val="clear" w:color="auto" w:fill="FFFFFF"/>
          <w:lang w:val="en-GB" w:eastAsia="de-DE"/>
        </w:rPr>
        <w:t>, the EBA Guidelines</w:t>
      </w:r>
      <w:r w:rsidR="0073027F">
        <w:rPr>
          <w:rFonts w:ascii="Times New Roman" w:eastAsia="Times New Roman" w:hAnsi="Times New Roman" w:cs="Times New Roman"/>
          <w:color w:val="000000"/>
          <w:sz w:val="24"/>
          <w:szCs w:val="24"/>
          <w:shd w:val="clear" w:color="auto" w:fill="FFFFFF"/>
          <w:lang w:val="en-GB" w:eastAsia="de-DE"/>
        </w:rPr>
        <w:t xml:space="preserve"> require “the competent authorities and financial institutions [to] make every effort to comply with the guidelines” on the grounds of Art. 16(3) of Regulation 1093/2010.</w:t>
      </w:r>
      <w:r w:rsidR="0073027F">
        <w:rPr>
          <w:rStyle w:val="Rimandonotaapidipagina"/>
          <w:rFonts w:ascii="Times New Roman" w:eastAsia="Times New Roman" w:hAnsi="Times New Roman" w:cs="Times New Roman"/>
          <w:color w:val="000000"/>
          <w:sz w:val="24"/>
          <w:szCs w:val="24"/>
          <w:shd w:val="clear" w:color="auto" w:fill="FFFFFF"/>
          <w:lang w:val="en-GB" w:eastAsia="de-DE"/>
        </w:rPr>
        <w:footnoteReference w:id="129"/>
      </w:r>
      <w:r w:rsidR="009A1AA9">
        <w:rPr>
          <w:rFonts w:ascii="Times New Roman" w:eastAsia="Times New Roman" w:hAnsi="Times New Roman" w:cs="Times New Roman"/>
          <w:color w:val="000000"/>
          <w:sz w:val="24"/>
          <w:szCs w:val="24"/>
          <w:shd w:val="clear" w:color="auto" w:fill="FFFFFF"/>
          <w:lang w:val="en-GB" w:eastAsia="de-DE"/>
        </w:rPr>
        <w:t xml:space="preserve"> The pressing of EU institution on creditworthiness assessment in the MCD is thus incomparable with the timid reference </w:t>
      </w:r>
      <w:r w:rsidR="0020199C">
        <w:rPr>
          <w:rFonts w:ascii="Times New Roman" w:eastAsia="Times New Roman" w:hAnsi="Times New Roman" w:cs="Times New Roman"/>
          <w:color w:val="000000"/>
          <w:sz w:val="24"/>
          <w:szCs w:val="24"/>
          <w:shd w:val="clear" w:color="auto" w:fill="FFFFFF"/>
          <w:lang w:val="en-GB" w:eastAsia="de-DE"/>
        </w:rPr>
        <w:t xml:space="preserve">to it </w:t>
      </w:r>
      <w:r w:rsidR="009A1AA9">
        <w:rPr>
          <w:rFonts w:ascii="Times New Roman" w:eastAsia="Times New Roman" w:hAnsi="Times New Roman" w:cs="Times New Roman"/>
          <w:color w:val="000000"/>
          <w:sz w:val="24"/>
          <w:szCs w:val="24"/>
          <w:shd w:val="clear" w:color="auto" w:fill="FFFFFF"/>
          <w:lang w:val="en-GB" w:eastAsia="de-DE"/>
        </w:rPr>
        <w:t>in the CCD.</w:t>
      </w:r>
    </w:p>
    <w:p w14:paraId="17C6B9B3" w14:textId="67E0FC84" w:rsidR="0073027F" w:rsidRDefault="0073027F"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The creditworthiness assessment in the MCD contains two of the three elements of the World Bank’ report suitability test. First, like in the CCD, </w:t>
      </w:r>
      <w:r w:rsidR="00DD1B0D">
        <w:rPr>
          <w:rFonts w:ascii="Times New Roman" w:eastAsia="Times New Roman" w:hAnsi="Times New Roman" w:cs="Times New Roman"/>
          <w:color w:val="000000"/>
          <w:sz w:val="24"/>
          <w:szCs w:val="24"/>
          <w:shd w:val="clear" w:color="auto" w:fill="FFFFFF"/>
          <w:lang w:val="en-GB" w:eastAsia="de-DE"/>
        </w:rPr>
        <w:t xml:space="preserve">there is the understanding test: extensive information disclosure duties and also the duty to explain (Art. </w:t>
      </w:r>
      <w:r w:rsidR="00AD4621">
        <w:rPr>
          <w:rFonts w:ascii="Times New Roman" w:eastAsia="Times New Roman" w:hAnsi="Times New Roman" w:cs="Times New Roman"/>
          <w:color w:val="000000"/>
          <w:sz w:val="24"/>
          <w:szCs w:val="24"/>
          <w:shd w:val="clear" w:color="auto" w:fill="FFFFFF"/>
          <w:lang w:val="en-GB" w:eastAsia="de-DE"/>
        </w:rPr>
        <w:t>16</w:t>
      </w:r>
      <w:r w:rsidR="00DD1B0D">
        <w:rPr>
          <w:rFonts w:ascii="Times New Roman" w:eastAsia="Times New Roman" w:hAnsi="Times New Roman" w:cs="Times New Roman"/>
          <w:color w:val="000000"/>
          <w:sz w:val="24"/>
          <w:szCs w:val="24"/>
          <w:shd w:val="clear" w:color="auto" w:fill="FFFFFF"/>
          <w:lang w:val="en-GB" w:eastAsia="de-DE"/>
        </w:rPr>
        <w:t>). Second, all creditworthiness assessments must focus on the long-term affordability of the credit, considering “all necessary and relevant factors that could influence a consumer’s ability to pay”.</w:t>
      </w:r>
      <w:r w:rsidR="00DD1B0D">
        <w:rPr>
          <w:rStyle w:val="Rimandonotaapidipagina"/>
          <w:rFonts w:ascii="Times New Roman" w:eastAsia="Times New Roman" w:hAnsi="Times New Roman" w:cs="Times New Roman"/>
          <w:color w:val="000000"/>
          <w:sz w:val="24"/>
          <w:szCs w:val="24"/>
          <w:shd w:val="clear" w:color="auto" w:fill="FFFFFF"/>
          <w:lang w:val="en-GB" w:eastAsia="de-DE"/>
        </w:rPr>
        <w:footnoteReference w:id="130"/>
      </w:r>
      <w:r w:rsidR="0044195E">
        <w:rPr>
          <w:rFonts w:ascii="Times New Roman" w:eastAsia="Times New Roman" w:hAnsi="Times New Roman" w:cs="Times New Roman"/>
          <w:color w:val="000000"/>
          <w:sz w:val="24"/>
          <w:szCs w:val="24"/>
          <w:shd w:val="clear" w:color="auto" w:fill="FFFFFF"/>
          <w:lang w:val="en-GB" w:eastAsia="de-DE"/>
        </w:rPr>
        <w:t xml:space="preserve"> </w:t>
      </w:r>
      <w:r w:rsidR="00DD1B0D">
        <w:rPr>
          <w:rFonts w:ascii="Times New Roman" w:eastAsia="Times New Roman" w:hAnsi="Times New Roman" w:cs="Times New Roman"/>
          <w:color w:val="000000"/>
          <w:sz w:val="24"/>
          <w:szCs w:val="24"/>
          <w:shd w:val="clear" w:color="auto" w:fill="FFFFFF"/>
          <w:lang w:val="en-GB" w:eastAsia="de-DE"/>
        </w:rPr>
        <w:t xml:space="preserve">As, seen the complete version of the report’s suitability test requires also to assess the credit in the best interest of the consumer. In the MCD, this duty is detached from the creditworthiness assessment, and it constitutes the core feature of advisory services (Art. 22). There are several interesting obligations from a principal multi agent perspective, but what matters here is </w:t>
      </w:r>
      <w:r w:rsidR="00351A9A">
        <w:rPr>
          <w:rFonts w:ascii="Times New Roman" w:eastAsia="Times New Roman" w:hAnsi="Times New Roman" w:cs="Times New Roman"/>
          <w:color w:val="000000"/>
          <w:sz w:val="24"/>
          <w:szCs w:val="24"/>
          <w:shd w:val="clear" w:color="auto" w:fill="FFFFFF"/>
          <w:lang w:val="en-GB" w:eastAsia="de-DE"/>
        </w:rPr>
        <w:t xml:space="preserve">the definition of advising “in the best interest of the consumer” in Art. 22(3) let. d). It requires to be informed on “the consumer’s needs and circumstances”, give a copy of the recommendation on a durable medium and, more </w:t>
      </w:r>
      <w:r w:rsidR="0020199C">
        <w:rPr>
          <w:rFonts w:ascii="Times New Roman" w:eastAsia="Times New Roman" w:hAnsi="Times New Roman" w:cs="Times New Roman"/>
          <w:color w:val="000000"/>
          <w:sz w:val="24"/>
          <w:szCs w:val="24"/>
          <w:shd w:val="clear" w:color="auto" w:fill="FFFFFF"/>
          <w:lang w:val="en-GB" w:eastAsia="de-DE"/>
        </w:rPr>
        <w:t>fundamentally</w:t>
      </w:r>
      <w:r w:rsidR="00351A9A">
        <w:rPr>
          <w:rFonts w:ascii="Times New Roman" w:eastAsia="Times New Roman" w:hAnsi="Times New Roman" w:cs="Times New Roman"/>
          <w:color w:val="000000"/>
          <w:sz w:val="24"/>
          <w:szCs w:val="24"/>
          <w:shd w:val="clear" w:color="auto" w:fill="FFFFFF"/>
          <w:lang w:val="en-GB" w:eastAsia="de-DE"/>
        </w:rPr>
        <w:t xml:space="preserve">, “recommend suitable credit agreements”. The suitable recommendation requirement is satisfied if the advisor recommends “a suitable credit agreement or several suitable credit agreements”. To some extent, this approach is </w:t>
      </w:r>
      <w:r w:rsidR="0020199C">
        <w:rPr>
          <w:rFonts w:ascii="Times New Roman" w:eastAsia="Times New Roman" w:hAnsi="Times New Roman" w:cs="Times New Roman"/>
          <w:color w:val="000000"/>
          <w:sz w:val="24"/>
          <w:szCs w:val="24"/>
          <w:shd w:val="clear" w:color="auto" w:fill="FFFFFF"/>
          <w:lang w:val="en-GB" w:eastAsia="de-DE"/>
        </w:rPr>
        <w:t xml:space="preserve">straightforwardly </w:t>
      </w:r>
      <w:r w:rsidR="00351A9A">
        <w:rPr>
          <w:rFonts w:ascii="Times New Roman" w:eastAsia="Times New Roman" w:hAnsi="Times New Roman" w:cs="Times New Roman"/>
          <w:color w:val="000000"/>
          <w:sz w:val="24"/>
          <w:szCs w:val="24"/>
          <w:shd w:val="clear" w:color="auto" w:fill="FFFFFF"/>
          <w:lang w:val="en-GB" w:eastAsia="de-DE"/>
        </w:rPr>
        <w:t xml:space="preserve">compatible with the framework proposed in this article. There is a </w:t>
      </w:r>
      <w:r w:rsidR="00AF3EB1">
        <w:rPr>
          <w:rFonts w:ascii="Times New Roman" w:eastAsia="Times New Roman" w:hAnsi="Times New Roman" w:cs="Times New Roman"/>
          <w:color w:val="000000"/>
          <w:sz w:val="24"/>
          <w:szCs w:val="24"/>
          <w:shd w:val="clear" w:color="auto" w:fill="FFFFFF"/>
          <w:lang w:val="en-GB" w:eastAsia="de-DE"/>
        </w:rPr>
        <w:t>teleological</w:t>
      </w:r>
      <w:r w:rsidR="00351A9A">
        <w:rPr>
          <w:rFonts w:ascii="Times New Roman" w:eastAsia="Times New Roman" w:hAnsi="Times New Roman" w:cs="Times New Roman"/>
          <w:color w:val="000000"/>
          <w:sz w:val="24"/>
          <w:szCs w:val="24"/>
          <w:shd w:val="clear" w:color="auto" w:fill="FFFFFF"/>
          <w:lang w:val="en-GB" w:eastAsia="de-DE"/>
        </w:rPr>
        <w:t xml:space="preserve"> </w:t>
      </w:r>
      <w:r w:rsidR="00351A9A">
        <w:rPr>
          <w:rFonts w:ascii="Times New Roman" w:eastAsia="Times New Roman" w:hAnsi="Times New Roman" w:cs="Times New Roman"/>
          <w:color w:val="000000"/>
          <w:sz w:val="24"/>
          <w:szCs w:val="24"/>
          <w:shd w:val="clear" w:color="auto" w:fill="FFFFFF"/>
          <w:lang w:val="en-GB" w:eastAsia="de-DE"/>
        </w:rPr>
        <w:lastRenderedPageBreak/>
        <w:t>relation between the advisor and the consumer</w:t>
      </w:r>
      <w:r w:rsidR="00437AE0">
        <w:rPr>
          <w:rFonts w:ascii="Times New Roman" w:eastAsia="Times New Roman" w:hAnsi="Times New Roman" w:cs="Times New Roman"/>
          <w:color w:val="000000"/>
          <w:sz w:val="24"/>
          <w:szCs w:val="24"/>
          <w:shd w:val="clear" w:color="auto" w:fill="FFFFFF"/>
          <w:lang w:val="en-GB" w:eastAsia="de-DE"/>
        </w:rPr>
        <w:t>’s best</w:t>
      </w:r>
      <w:r w:rsidR="00351A9A">
        <w:rPr>
          <w:rFonts w:ascii="Times New Roman" w:eastAsia="Times New Roman" w:hAnsi="Times New Roman" w:cs="Times New Roman"/>
          <w:color w:val="000000"/>
          <w:sz w:val="24"/>
          <w:szCs w:val="24"/>
          <w:shd w:val="clear" w:color="auto" w:fill="FFFFFF"/>
          <w:lang w:val="en-GB" w:eastAsia="de-DE"/>
        </w:rPr>
        <w:t xml:space="preserve"> interest.</w:t>
      </w:r>
      <w:r w:rsidR="00351A9A">
        <w:rPr>
          <w:rStyle w:val="Rimandonotaapidipagina"/>
          <w:rFonts w:ascii="Times New Roman" w:eastAsia="Times New Roman" w:hAnsi="Times New Roman" w:cs="Times New Roman"/>
          <w:color w:val="000000"/>
          <w:sz w:val="24"/>
          <w:szCs w:val="24"/>
          <w:shd w:val="clear" w:color="auto" w:fill="FFFFFF"/>
          <w:lang w:val="en-GB" w:eastAsia="de-DE"/>
        </w:rPr>
        <w:footnoteReference w:id="131"/>
      </w:r>
      <w:r w:rsidR="00351A9A">
        <w:rPr>
          <w:rFonts w:ascii="Times New Roman" w:eastAsia="Times New Roman" w:hAnsi="Times New Roman" w:cs="Times New Roman"/>
          <w:color w:val="000000"/>
          <w:sz w:val="24"/>
          <w:szCs w:val="24"/>
          <w:shd w:val="clear" w:color="auto" w:fill="FFFFFF"/>
          <w:lang w:val="en-GB" w:eastAsia="de-DE"/>
        </w:rPr>
        <w:t xml:space="preserve"> </w:t>
      </w:r>
      <w:r w:rsidR="00437AE0">
        <w:rPr>
          <w:rFonts w:ascii="Times New Roman" w:eastAsia="Times New Roman" w:hAnsi="Times New Roman" w:cs="Times New Roman"/>
          <w:color w:val="000000"/>
          <w:sz w:val="24"/>
          <w:szCs w:val="24"/>
          <w:shd w:val="clear" w:color="auto" w:fill="FFFFFF"/>
          <w:lang w:val="en-GB" w:eastAsia="de-DE"/>
        </w:rPr>
        <w:t>However, to act in the “best interest” does not require the suggestion of the most suitable, but simply one or more suitable alternatives. While this seems a contradiction of the normative premise of our discussion, the next section actually show that this is compatible with a certain conception – perhaps not entirely convincing – of the consumer as agent within a principle multi agent model identifying allocative efficiency (as defined here) as the principal.</w:t>
      </w:r>
    </w:p>
    <w:p w14:paraId="2B42C508" w14:textId="5A12D212" w:rsidR="00D812BB" w:rsidRDefault="00D812BB"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Before moving to this topic, a word is necessary on what, for many, is the </w:t>
      </w:r>
      <w:r w:rsidR="00273FEA" w:rsidRPr="00DA09BA">
        <w:rPr>
          <w:rFonts w:ascii="Times New Roman" w:eastAsia="Times New Roman" w:hAnsi="Times New Roman" w:cs="Times New Roman"/>
          <w:color w:val="000000"/>
          <w:sz w:val="24"/>
          <w:szCs w:val="24"/>
          <w:shd w:val="clear" w:color="auto" w:fill="FFFFFF"/>
          <w:lang w:val="en-GB" w:eastAsia="de-DE"/>
        </w:rPr>
        <w:t>core</w:t>
      </w:r>
      <w:r>
        <w:rPr>
          <w:rFonts w:ascii="Times New Roman" w:eastAsia="Times New Roman" w:hAnsi="Times New Roman" w:cs="Times New Roman"/>
          <w:color w:val="000000"/>
          <w:sz w:val="24"/>
          <w:szCs w:val="24"/>
          <w:shd w:val="clear" w:color="auto" w:fill="FFFFFF"/>
          <w:lang w:val="en-GB" w:eastAsia="de-DE"/>
        </w:rPr>
        <w:t xml:space="preserve"> of consumer credit market regulation, namely, </w:t>
      </w:r>
      <w:r w:rsidR="00273FEA">
        <w:rPr>
          <w:rFonts w:ascii="Times New Roman" w:eastAsia="Times New Roman" w:hAnsi="Times New Roman" w:cs="Times New Roman"/>
          <w:color w:val="000000"/>
          <w:sz w:val="24"/>
          <w:szCs w:val="24"/>
          <w:shd w:val="clear" w:color="auto" w:fill="FFFFFF"/>
          <w:lang w:val="en-GB" w:eastAsia="de-DE"/>
        </w:rPr>
        <w:t xml:space="preserve">fighting </w:t>
      </w:r>
      <w:r>
        <w:rPr>
          <w:rFonts w:ascii="Times New Roman" w:eastAsia="Times New Roman" w:hAnsi="Times New Roman" w:cs="Times New Roman"/>
          <w:color w:val="000000"/>
          <w:sz w:val="24"/>
          <w:szCs w:val="24"/>
          <w:shd w:val="clear" w:color="auto" w:fill="FFFFFF"/>
          <w:lang w:val="en-GB" w:eastAsia="de-DE"/>
        </w:rPr>
        <w:t>over-indebtedness. There is a cursory reference to it in the CCD.</w:t>
      </w:r>
      <w:r w:rsidR="000F4A31">
        <w:rPr>
          <w:rStyle w:val="Rimandonotaapidipagina"/>
          <w:rFonts w:ascii="Times New Roman" w:eastAsia="Times New Roman" w:hAnsi="Times New Roman" w:cs="Times New Roman"/>
          <w:color w:val="000000"/>
          <w:sz w:val="24"/>
          <w:szCs w:val="24"/>
          <w:shd w:val="clear" w:color="auto" w:fill="FFFFFF"/>
          <w:lang w:val="en-GB" w:eastAsia="de-DE"/>
        </w:rPr>
        <w:footnoteReference w:id="132"/>
      </w:r>
      <w:r>
        <w:rPr>
          <w:rFonts w:ascii="Times New Roman" w:eastAsia="Times New Roman" w:hAnsi="Times New Roman" w:cs="Times New Roman"/>
          <w:color w:val="000000"/>
          <w:sz w:val="24"/>
          <w:szCs w:val="24"/>
          <w:shd w:val="clear" w:color="auto" w:fill="FFFFFF"/>
          <w:lang w:val="en-GB" w:eastAsia="de-DE"/>
        </w:rPr>
        <w:t xml:space="preserve"> Over-indebtedness is quoted more present in the MCD, although its presence is quite peculiar. It is mentioned in </w:t>
      </w:r>
      <w:r w:rsidR="00273FEA">
        <w:rPr>
          <w:rFonts w:ascii="Times New Roman" w:eastAsia="Times New Roman" w:hAnsi="Times New Roman" w:cs="Times New Roman"/>
          <w:color w:val="000000"/>
          <w:sz w:val="24"/>
          <w:szCs w:val="24"/>
          <w:shd w:val="clear" w:color="auto" w:fill="FFFFFF"/>
          <w:lang w:val="en-GB" w:eastAsia="de-DE"/>
        </w:rPr>
        <w:t>two</w:t>
      </w:r>
      <w:r>
        <w:rPr>
          <w:rFonts w:ascii="Times New Roman" w:eastAsia="Times New Roman" w:hAnsi="Times New Roman" w:cs="Times New Roman"/>
          <w:color w:val="000000"/>
          <w:sz w:val="24"/>
          <w:szCs w:val="24"/>
          <w:shd w:val="clear" w:color="auto" w:fill="FFFFFF"/>
          <w:lang w:val="en-GB" w:eastAsia="de-DE"/>
        </w:rPr>
        <w:t xml:space="preserve"> recitals</w:t>
      </w:r>
      <w:r w:rsidR="009706E0">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in connection with the creditworthiness assessment</w:t>
      </w:r>
      <w:r w:rsidR="009706E0">
        <w:rPr>
          <w:rFonts w:ascii="Times New Roman" w:eastAsia="Times New Roman" w:hAnsi="Times New Roman" w:cs="Times New Roman"/>
          <w:color w:val="000000"/>
          <w:sz w:val="24"/>
          <w:szCs w:val="24"/>
          <w:shd w:val="clear" w:color="auto" w:fill="FFFFFF"/>
          <w:lang w:val="en-GB" w:eastAsia="de-DE"/>
        </w:rPr>
        <w:t xml:space="preserve"> and the repayment of the outstanding debt after foreclosure proceedings</w:t>
      </w:r>
      <w:r>
        <w:rPr>
          <w:rFonts w:ascii="Times New Roman" w:eastAsia="Times New Roman" w:hAnsi="Times New Roman" w:cs="Times New Roman"/>
          <w:color w:val="000000"/>
          <w:sz w:val="24"/>
          <w:szCs w:val="24"/>
          <w:shd w:val="clear" w:color="auto" w:fill="FFFFFF"/>
          <w:lang w:val="en-GB" w:eastAsia="de-DE"/>
        </w:rPr>
        <w:t>. It is however present in only one article, Article 4</w:t>
      </w:r>
      <w:r w:rsidR="00FD3586">
        <w:rPr>
          <w:rFonts w:ascii="Times New Roman" w:eastAsia="Times New Roman" w:hAnsi="Times New Roman" w:cs="Times New Roman"/>
          <w:color w:val="000000"/>
          <w:sz w:val="24"/>
          <w:szCs w:val="24"/>
          <w:shd w:val="clear" w:color="auto" w:fill="FFFFFF"/>
          <w:lang w:val="en-GB" w:eastAsia="de-DE"/>
        </w:rPr>
        <w:t>5</w:t>
      </w:r>
      <w:r>
        <w:rPr>
          <w:rFonts w:ascii="Times New Roman" w:eastAsia="Times New Roman" w:hAnsi="Times New Roman" w:cs="Times New Roman"/>
          <w:color w:val="000000"/>
          <w:sz w:val="24"/>
          <w:szCs w:val="24"/>
          <w:shd w:val="clear" w:color="auto" w:fill="FFFFFF"/>
          <w:lang w:val="en-GB" w:eastAsia="de-DE"/>
        </w:rPr>
        <w:t xml:space="preserve">, which commits the Commission to present by </w:t>
      </w:r>
      <w:r w:rsidR="00FD3586">
        <w:rPr>
          <w:rFonts w:ascii="Times New Roman" w:eastAsia="Times New Roman" w:hAnsi="Times New Roman" w:cs="Times New Roman"/>
          <w:color w:val="000000"/>
          <w:sz w:val="24"/>
          <w:szCs w:val="24"/>
          <w:shd w:val="clear" w:color="auto" w:fill="FFFFFF"/>
          <w:lang w:val="en-GB" w:eastAsia="de-DE"/>
        </w:rPr>
        <w:t xml:space="preserve">21 March </w:t>
      </w:r>
      <w:r>
        <w:rPr>
          <w:rFonts w:ascii="Times New Roman" w:eastAsia="Times New Roman" w:hAnsi="Times New Roman" w:cs="Times New Roman"/>
          <w:color w:val="000000"/>
          <w:sz w:val="24"/>
          <w:szCs w:val="24"/>
          <w:shd w:val="clear" w:color="auto" w:fill="FFFFFF"/>
          <w:lang w:val="en-GB" w:eastAsia="de-DE"/>
        </w:rPr>
        <w:t>2019</w:t>
      </w:r>
      <w:r w:rsidR="00FD3586">
        <w:rPr>
          <w:rFonts w:ascii="Times New Roman" w:eastAsia="Times New Roman" w:hAnsi="Times New Roman" w:cs="Times New Roman"/>
          <w:color w:val="000000"/>
          <w:sz w:val="24"/>
          <w:szCs w:val="24"/>
          <w:shd w:val="clear" w:color="auto" w:fill="FFFFFF"/>
          <w:lang w:val="en-GB" w:eastAsia="de-DE"/>
        </w:rPr>
        <w:t xml:space="preserve"> “a comprehensive report assessing the wider challenges of private over-indebtedness linked to credit activity” and, if appropriate, “legislative proposals”</w:t>
      </w:r>
      <w:r>
        <w:rPr>
          <w:rFonts w:ascii="Times New Roman" w:eastAsia="Times New Roman" w:hAnsi="Times New Roman" w:cs="Times New Roman"/>
          <w:color w:val="000000"/>
          <w:sz w:val="24"/>
          <w:szCs w:val="24"/>
          <w:shd w:val="clear" w:color="auto" w:fill="FFFFFF"/>
          <w:lang w:val="en-GB" w:eastAsia="de-DE"/>
        </w:rPr>
        <w:t>. Even if the explicit references are limited, we disagree with the conclusion that EU institution</w:t>
      </w:r>
      <w:r w:rsidR="00DD2089">
        <w:rPr>
          <w:rFonts w:ascii="Times New Roman" w:eastAsia="Times New Roman" w:hAnsi="Times New Roman" w:cs="Times New Roman"/>
          <w:color w:val="000000"/>
          <w:sz w:val="24"/>
          <w:szCs w:val="24"/>
          <w:shd w:val="clear" w:color="auto" w:fill="FFFFFF"/>
          <w:lang w:val="en-GB" w:eastAsia="de-DE"/>
        </w:rPr>
        <w:t>s</w:t>
      </w:r>
      <w:r w:rsidR="00506CE7">
        <w:rPr>
          <w:rFonts w:ascii="Times New Roman" w:eastAsia="Times New Roman" w:hAnsi="Times New Roman" w:cs="Times New Roman"/>
          <w:color w:val="000000"/>
          <w:sz w:val="24"/>
          <w:szCs w:val="24"/>
          <w:shd w:val="clear" w:color="auto" w:fill="FFFFFF"/>
          <w:lang w:val="en-GB" w:eastAsia="de-DE"/>
        </w:rPr>
        <w:t xml:space="preserve"> are patently doing too little</w:t>
      </w:r>
      <w:r w:rsidR="0020199C">
        <w:rPr>
          <w:rFonts w:ascii="Times New Roman" w:eastAsia="Times New Roman" w:hAnsi="Times New Roman" w:cs="Times New Roman"/>
          <w:color w:val="000000"/>
          <w:sz w:val="24"/>
          <w:szCs w:val="24"/>
          <w:shd w:val="clear" w:color="auto" w:fill="FFFFFF"/>
          <w:lang w:val="en-GB" w:eastAsia="de-DE"/>
        </w:rPr>
        <w:t xml:space="preserve"> to fight over-indebtedness</w:t>
      </w:r>
      <w:r w:rsidR="00506CE7">
        <w:rPr>
          <w:rFonts w:ascii="Times New Roman" w:eastAsia="Times New Roman" w:hAnsi="Times New Roman" w:cs="Times New Roman"/>
          <w:color w:val="000000"/>
          <w:sz w:val="24"/>
          <w:szCs w:val="24"/>
          <w:shd w:val="clear" w:color="auto" w:fill="FFFFFF"/>
          <w:lang w:val="en-GB" w:eastAsia="de-DE"/>
        </w:rPr>
        <w:t>.</w:t>
      </w:r>
      <w:r w:rsidR="00506CE7">
        <w:rPr>
          <w:rStyle w:val="Rimandonotaapidipagina"/>
          <w:rFonts w:ascii="Times New Roman" w:eastAsia="Times New Roman" w:hAnsi="Times New Roman" w:cs="Times New Roman"/>
          <w:color w:val="000000"/>
          <w:sz w:val="24"/>
          <w:szCs w:val="24"/>
          <w:shd w:val="clear" w:color="auto" w:fill="FFFFFF"/>
          <w:lang w:val="en-GB" w:eastAsia="de-DE"/>
        </w:rPr>
        <w:footnoteReference w:id="133"/>
      </w:r>
      <w:r w:rsidR="00506CE7">
        <w:rPr>
          <w:rFonts w:ascii="Times New Roman" w:eastAsia="Times New Roman" w:hAnsi="Times New Roman" w:cs="Times New Roman"/>
          <w:color w:val="000000"/>
          <w:sz w:val="24"/>
          <w:szCs w:val="24"/>
          <w:shd w:val="clear" w:color="auto" w:fill="FFFFFF"/>
          <w:lang w:val="en-GB" w:eastAsia="de-DE"/>
        </w:rPr>
        <w:t xml:space="preserve"> Indeed, we take the point that over-indebtedness is often a problem based on factors external to the credit relation – such as, reduction of income, divorce, taxes, etc.</w:t>
      </w:r>
      <w:r w:rsidR="00DE01EB" w:rsidRPr="00497A81">
        <w:rPr>
          <w:rStyle w:val="Rimandonotaapidipagina"/>
          <w:rFonts w:ascii="Times New Roman" w:eastAsia="Times New Roman" w:hAnsi="Times New Roman" w:cs="Times New Roman"/>
          <w:color w:val="000000"/>
          <w:sz w:val="24"/>
          <w:szCs w:val="24"/>
          <w:shd w:val="clear" w:color="auto" w:fill="FFFFFF"/>
          <w:lang w:val="en-GB" w:eastAsia="de-DE"/>
        </w:rPr>
        <w:footnoteReference w:id="134"/>
      </w:r>
      <w:r w:rsidR="00506CE7">
        <w:rPr>
          <w:rFonts w:ascii="Times New Roman" w:eastAsia="Times New Roman" w:hAnsi="Times New Roman" w:cs="Times New Roman"/>
          <w:color w:val="000000"/>
          <w:sz w:val="24"/>
          <w:szCs w:val="24"/>
          <w:shd w:val="clear" w:color="auto" w:fill="FFFFFF"/>
          <w:lang w:val="en-GB" w:eastAsia="de-DE"/>
        </w:rPr>
        <w:t xml:space="preserve"> </w:t>
      </w:r>
      <w:r w:rsidR="00DD2089">
        <w:rPr>
          <w:rFonts w:ascii="Times New Roman" w:eastAsia="Times New Roman" w:hAnsi="Times New Roman" w:cs="Times New Roman"/>
          <w:color w:val="000000"/>
          <w:sz w:val="24"/>
          <w:szCs w:val="24"/>
          <w:shd w:val="clear" w:color="auto" w:fill="FFFFFF"/>
          <w:lang w:val="en-GB" w:eastAsia="de-DE"/>
        </w:rPr>
        <w:t>This, however, means that credit regulation should be considered in the broader institutional context of a country.</w:t>
      </w:r>
      <w:r w:rsidR="00DD2089">
        <w:rPr>
          <w:rStyle w:val="Rimandonotaapidipagina"/>
          <w:rFonts w:ascii="Times New Roman" w:eastAsia="Times New Roman" w:hAnsi="Times New Roman" w:cs="Times New Roman"/>
          <w:color w:val="000000"/>
          <w:sz w:val="24"/>
          <w:szCs w:val="24"/>
          <w:shd w:val="clear" w:color="auto" w:fill="FFFFFF"/>
          <w:lang w:val="en-GB" w:eastAsia="de-DE"/>
        </w:rPr>
        <w:footnoteReference w:id="135"/>
      </w:r>
      <w:r w:rsidR="00DD2089">
        <w:rPr>
          <w:rFonts w:ascii="Times New Roman" w:eastAsia="Times New Roman" w:hAnsi="Times New Roman" w:cs="Times New Roman"/>
          <w:color w:val="000000"/>
          <w:sz w:val="24"/>
          <w:szCs w:val="24"/>
          <w:shd w:val="clear" w:color="auto" w:fill="FFFFFF"/>
          <w:lang w:val="en-GB" w:eastAsia="de-DE"/>
        </w:rPr>
        <w:t xml:space="preserve"> </w:t>
      </w:r>
      <w:r w:rsidR="00506CE7">
        <w:rPr>
          <w:rFonts w:ascii="Times New Roman" w:eastAsia="Times New Roman" w:hAnsi="Times New Roman" w:cs="Times New Roman"/>
          <w:color w:val="000000"/>
          <w:sz w:val="24"/>
          <w:szCs w:val="24"/>
          <w:shd w:val="clear" w:color="auto" w:fill="FFFFFF"/>
          <w:lang w:val="en-GB" w:eastAsia="de-DE"/>
        </w:rPr>
        <w:t>In our view, it is exactly because of this nature of the problem that the instrumentalization of the credit agreement as a means to fight over-indebtedness cannot be underestimated. First of all, the highly protective standard of creditworthiness assessment cannot be disregarded.</w:t>
      </w:r>
      <w:r w:rsidR="00DD2089">
        <w:rPr>
          <w:rFonts w:ascii="Times New Roman" w:eastAsia="Times New Roman" w:hAnsi="Times New Roman" w:cs="Times New Roman"/>
          <w:color w:val="000000"/>
          <w:sz w:val="24"/>
          <w:szCs w:val="24"/>
          <w:shd w:val="clear" w:color="auto" w:fill="FFFFFF"/>
          <w:lang w:val="en-GB" w:eastAsia="de-DE"/>
        </w:rPr>
        <w:t xml:space="preserve"> In the 2013 Study on the EU credit market, it was observed that in those countries </w:t>
      </w:r>
      <w:r w:rsidR="00FD3586">
        <w:rPr>
          <w:rFonts w:ascii="Times New Roman" w:eastAsia="Times New Roman" w:hAnsi="Times New Roman" w:cs="Times New Roman"/>
          <w:color w:val="000000"/>
          <w:sz w:val="24"/>
          <w:szCs w:val="24"/>
          <w:shd w:val="clear" w:color="auto" w:fill="FFFFFF"/>
          <w:lang w:val="en-GB" w:eastAsia="de-DE"/>
        </w:rPr>
        <w:t xml:space="preserve">not </w:t>
      </w:r>
      <w:r w:rsidR="00DD2089">
        <w:rPr>
          <w:rFonts w:ascii="Times New Roman" w:eastAsia="Times New Roman" w:hAnsi="Times New Roman" w:cs="Times New Roman"/>
          <w:color w:val="000000"/>
          <w:sz w:val="24"/>
          <w:szCs w:val="24"/>
          <w:shd w:val="clear" w:color="auto" w:fill="FFFFFF"/>
          <w:lang w:val="en-GB" w:eastAsia="de-DE"/>
        </w:rPr>
        <w:t xml:space="preserve">imposing the duty of assessing </w:t>
      </w:r>
      <w:r w:rsidR="00FD3586">
        <w:rPr>
          <w:rFonts w:ascii="Times New Roman" w:eastAsia="Times New Roman" w:hAnsi="Times New Roman" w:cs="Times New Roman"/>
          <w:color w:val="000000"/>
          <w:sz w:val="24"/>
          <w:szCs w:val="24"/>
          <w:shd w:val="clear" w:color="auto" w:fill="FFFFFF"/>
          <w:lang w:val="en-GB" w:eastAsia="de-DE"/>
        </w:rPr>
        <w:t>credit</w:t>
      </w:r>
      <w:r w:rsidR="00DD2089">
        <w:rPr>
          <w:rFonts w:ascii="Times New Roman" w:eastAsia="Times New Roman" w:hAnsi="Times New Roman" w:cs="Times New Roman"/>
          <w:color w:val="000000"/>
          <w:sz w:val="24"/>
          <w:szCs w:val="24"/>
          <w:shd w:val="clear" w:color="auto" w:fill="FFFFFF"/>
          <w:lang w:val="en-GB" w:eastAsia="de-DE"/>
        </w:rPr>
        <w:t xml:space="preserve"> suitability, the level of consumer default was </w:t>
      </w:r>
      <w:r w:rsidR="00FD3586">
        <w:rPr>
          <w:rFonts w:ascii="Times New Roman" w:eastAsia="Times New Roman" w:hAnsi="Times New Roman" w:cs="Times New Roman"/>
          <w:color w:val="000000"/>
          <w:sz w:val="24"/>
          <w:szCs w:val="24"/>
          <w:shd w:val="clear" w:color="auto" w:fill="FFFFFF"/>
          <w:lang w:val="en-GB" w:eastAsia="de-DE"/>
        </w:rPr>
        <w:t>doubled</w:t>
      </w:r>
      <w:r w:rsidR="00DD2089">
        <w:rPr>
          <w:rFonts w:ascii="Times New Roman" w:eastAsia="Times New Roman" w:hAnsi="Times New Roman" w:cs="Times New Roman"/>
          <w:color w:val="000000"/>
          <w:sz w:val="24"/>
          <w:szCs w:val="24"/>
          <w:shd w:val="clear" w:color="auto" w:fill="FFFFFF"/>
          <w:lang w:val="en-GB" w:eastAsia="de-DE"/>
        </w:rPr>
        <w:t>.</w:t>
      </w:r>
      <w:r w:rsidR="00FD3586">
        <w:rPr>
          <w:rStyle w:val="Rimandonotaapidipagina"/>
          <w:rFonts w:ascii="Times New Roman" w:eastAsia="Times New Roman" w:hAnsi="Times New Roman" w:cs="Times New Roman"/>
          <w:color w:val="000000"/>
          <w:sz w:val="24"/>
          <w:szCs w:val="24"/>
          <w:shd w:val="clear" w:color="auto" w:fill="FFFFFF"/>
          <w:lang w:val="en-GB" w:eastAsia="de-DE"/>
        </w:rPr>
        <w:footnoteReference w:id="136"/>
      </w:r>
      <w:r w:rsidR="00DD2089">
        <w:rPr>
          <w:rFonts w:ascii="Times New Roman" w:eastAsia="Times New Roman" w:hAnsi="Times New Roman" w:cs="Times New Roman"/>
          <w:color w:val="000000"/>
          <w:sz w:val="24"/>
          <w:szCs w:val="24"/>
          <w:shd w:val="clear" w:color="auto" w:fill="FFFFFF"/>
          <w:lang w:val="en-GB" w:eastAsia="de-DE"/>
        </w:rPr>
        <w:t xml:space="preserve"> </w:t>
      </w:r>
      <w:r w:rsidR="00FD3586">
        <w:rPr>
          <w:rFonts w:ascii="Times New Roman" w:eastAsia="Times New Roman" w:hAnsi="Times New Roman" w:cs="Times New Roman"/>
          <w:color w:val="000000"/>
          <w:sz w:val="24"/>
          <w:szCs w:val="24"/>
          <w:shd w:val="clear" w:color="auto" w:fill="FFFFFF"/>
          <w:lang w:val="en-GB" w:eastAsia="de-DE"/>
        </w:rPr>
        <w:t>To this regard, t</w:t>
      </w:r>
      <w:r w:rsidR="00506CE7">
        <w:rPr>
          <w:rFonts w:ascii="Times New Roman" w:eastAsia="Times New Roman" w:hAnsi="Times New Roman" w:cs="Times New Roman"/>
          <w:color w:val="000000"/>
          <w:sz w:val="24"/>
          <w:szCs w:val="24"/>
          <w:shd w:val="clear" w:color="auto" w:fill="FFFFFF"/>
          <w:lang w:val="en-GB" w:eastAsia="de-DE"/>
        </w:rPr>
        <w:t xml:space="preserve">he problem is to </w:t>
      </w:r>
      <w:r w:rsidR="00F10FEB">
        <w:rPr>
          <w:rFonts w:ascii="Times New Roman" w:eastAsia="Times New Roman" w:hAnsi="Times New Roman" w:cs="Times New Roman"/>
          <w:color w:val="000000"/>
          <w:sz w:val="24"/>
          <w:szCs w:val="24"/>
          <w:shd w:val="clear" w:color="auto" w:fill="FFFFFF"/>
          <w:lang w:val="en-GB" w:eastAsia="de-DE"/>
        </w:rPr>
        <w:t>design the regulation of the credit market that is allocatively optimal</w:t>
      </w:r>
      <w:r w:rsidR="00506CE7">
        <w:rPr>
          <w:rFonts w:ascii="Times New Roman" w:eastAsia="Times New Roman" w:hAnsi="Times New Roman" w:cs="Times New Roman"/>
          <w:color w:val="000000"/>
          <w:sz w:val="24"/>
          <w:szCs w:val="24"/>
          <w:shd w:val="clear" w:color="auto" w:fill="FFFFFF"/>
          <w:lang w:val="en-GB" w:eastAsia="de-DE"/>
        </w:rPr>
        <w:t>.</w:t>
      </w:r>
      <w:r w:rsidR="00FD3586">
        <w:rPr>
          <w:rStyle w:val="Rimandonotaapidipagina"/>
          <w:rFonts w:ascii="Times New Roman" w:eastAsia="Times New Roman" w:hAnsi="Times New Roman" w:cs="Times New Roman"/>
          <w:color w:val="000000"/>
          <w:sz w:val="24"/>
          <w:szCs w:val="24"/>
          <w:shd w:val="clear" w:color="auto" w:fill="FFFFFF"/>
          <w:lang w:val="en-GB" w:eastAsia="de-DE"/>
        </w:rPr>
        <w:footnoteReference w:id="137"/>
      </w:r>
      <w:r w:rsidR="00506CE7">
        <w:rPr>
          <w:rFonts w:ascii="Times New Roman" w:eastAsia="Times New Roman" w:hAnsi="Times New Roman" w:cs="Times New Roman"/>
          <w:color w:val="000000"/>
          <w:sz w:val="24"/>
          <w:szCs w:val="24"/>
          <w:shd w:val="clear" w:color="auto" w:fill="FFFFFF"/>
          <w:lang w:val="en-GB" w:eastAsia="de-DE"/>
        </w:rPr>
        <w:t xml:space="preserve"> Second, and perhaps more importantly, we cannot ignore the duty imposed on creditors related to the execution of the contract. Not only creditors have the duty to obtain the best price for the foreclosed estate</w:t>
      </w:r>
      <w:r w:rsidR="00DD2089">
        <w:rPr>
          <w:rFonts w:ascii="Times New Roman" w:eastAsia="Times New Roman" w:hAnsi="Times New Roman" w:cs="Times New Roman"/>
          <w:color w:val="000000"/>
          <w:sz w:val="24"/>
          <w:szCs w:val="24"/>
          <w:shd w:val="clear" w:color="auto" w:fill="FFFFFF"/>
          <w:lang w:val="en-GB" w:eastAsia="de-DE"/>
        </w:rPr>
        <w:t xml:space="preserve"> if this price “affects the amount owed by the consumer”</w:t>
      </w:r>
      <w:r w:rsidR="00506CE7">
        <w:rPr>
          <w:rFonts w:ascii="Times New Roman" w:eastAsia="Times New Roman" w:hAnsi="Times New Roman" w:cs="Times New Roman"/>
          <w:color w:val="000000"/>
          <w:sz w:val="24"/>
          <w:szCs w:val="24"/>
          <w:shd w:val="clear" w:color="auto" w:fill="FFFFFF"/>
          <w:lang w:val="en-GB" w:eastAsia="de-DE"/>
        </w:rPr>
        <w:t xml:space="preserve"> (Art. 18(5)). </w:t>
      </w:r>
      <w:r w:rsidR="00DD2089">
        <w:rPr>
          <w:rFonts w:ascii="Times New Roman" w:eastAsia="Times New Roman" w:hAnsi="Times New Roman" w:cs="Times New Roman"/>
          <w:color w:val="000000"/>
          <w:sz w:val="24"/>
          <w:szCs w:val="24"/>
          <w:shd w:val="clear" w:color="auto" w:fill="FFFFFF"/>
          <w:lang w:val="en-GB" w:eastAsia="de-DE"/>
        </w:rPr>
        <w:t>They are</w:t>
      </w:r>
      <w:r w:rsidR="00FD3586">
        <w:rPr>
          <w:rFonts w:ascii="Times New Roman" w:eastAsia="Times New Roman" w:hAnsi="Times New Roman" w:cs="Times New Roman"/>
          <w:color w:val="000000"/>
          <w:sz w:val="24"/>
          <w:szCs w:val="24"/>
          <w:shd w:val="clear" w:color="auto" w:fill="FFFFFF"/>
          <w:lang w:val="en-GB" w:eastAsia="de-DE"/>
        </w:rPr>
        <w:t xml:space="preserve"> also</w:t>
      </w:r>
      <w:r w:rsidR="00DD2089">
        <w:rPr>
          <w:rFonts w:ascii="Times New Roman" w:eastAsia="Times New Roman" w:hAnsi="Times New Roman" w:cs="Times New Roman"/>
          <w:color w:val="000000"/>
          <w:sz w:val="24"/>
          <w:szCs w:val="24"/>
          <w:shd w:val="clear" w:color="auto" w:fill="FFFFFF"/>
          <w:lang w:val="en-GB" w:eastAsia="de-DE"/>
        </w:rPr>
        <w:t xml:space="preserve"> “encourage(d) [to] exercise reasonable forbearance before foreclosure proceedings is initiated” (Art. 18(1)).</w:t>
      </w:r>
      <w:r w:rsidR="00D008D8">
        <w:rPr>
          <w:rFonts w:ascii="Times New Roman" w:eastAsia="Times New Roman" w:hAnsi="Times New Roman" w:cs="Times New Roman"/>
          <w:color w:val="000000"/>
          <w:sz w:val="24"/>
          <w:szCs w:val="24"/>
          <w:shd w:val="clear" w:color="auto" w:fill="FFFFFF"/>
          <w:lang w:val="en-GB" w:eastAsia="de-DE"/>
        </w:rPr>
        <w:t xml:space="preserve"> </w:t>
      </w:r>
    </w:p>
    <w:p w14:paraId="3A1641FF" w14:textId="4E1F34FC" w:rsidR="00054D2A" w:rsidRDefault="00930768" w:rsidP="008906D8">
      <w:pPr>
        <w:spacing w:after="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In light of the above, it can safely be concluded that indeed there is a macro concern in creditworthiness assessment. However, there is also a specific concern for the detrimental consequences for consumers of a default. What remains implicit in the normative framework is the trade-off between the benefits from consumers avoiding a default thanks to the creditworthiness assessment and the costs for consumers that are excluded from the consumer credit market. Importantly for our framework, to focus on this problem the reference to aggregate consumer welfare is clearly much more precise than the reference to overall welfare.</w:t>
      </w:r>
    </w:p>
    <w:p w14:paraId="3678D125" w14:textId="77777777" w:rsidR="00CE1CB6" w:rsidRDefault="00CE1CB6" w:rsidP="008906D8">
      <w:pPr>
        <w:spacing w:after="0" w:line="240" w:lineRule="auto"/>
        <w:jc w:val="both"/>
        <w:rPr>
          <w:rFonts w:ascii="Times New Roman" w:eastAsia="Times New Roman" w:hAnsi="Times New Roman" w:cs="Times New Roman"/>
          <w:color w:val="000000"/>
          <w:sz w:val="24"/>
          <w:szCs w:val="24"/>
          <w:highlight w:val="yellow"/>
          <w:shd w:val="clear" w:color="auto" w:fill="FFFFFF"/>
          <w:lang w:val="en-GB" w:eastAsia="de-DE"/>
        </w:rPr>
      </w:pPr>
    </w:p>
    <w:p w14:paraId="53FC411F" w14:textId="366B9672" w:rsidR="00CE1CB6" w:rsidRPr="00DA09BA" w:rsidRDefault="00CE1CB6" w:rsidP="0038441A">
      <w:pPr>
        <w:spacing w:after="0" w:line="240" w:lineRule="auto"/>
        <w:rPr>
          <w:rFonts w:ascii="Times New Roman" w:eastAsia="Times New Roman" w:hAnsi="Times New Roman" w:cs="Times New Roman"/>
          <w:b/>
          <w:bCs/>
          <w:color w:val="000000"/>
          <w:sz w:val="24"/>
          <w:szCs w:val="24"/>
          <w:shd w:val="clear" w:color="auto" w:fill="FFFFFF"/>
          <w:lang w:val="en-GB" w:eastAsia="de-DE"/>
        </w:rPr>
      </w:pPr>
      <w:r w:rsidRPr="00DA09BA">
        <w:rPr>
          <w:rFonts w:ascii="Times New Roman" w:eastAsia="Times New Roman" w:hAnsi="Times New Roman" w:cs="Times New Roman"/>
          <w:b/>
          <w:bCs/>
          <w:color w:val="000000"/>
          <w:sz w:val="24"/>
          <w:szCs w:val="24"/>
          <w:shd w:val="clear" w:color="auto" w:fill="FFFFFF"/>
          <w:lang w:val="en-GB" w:eastAsia="de-DE"/>
        </w:rPr>
        <w:t>3. EU Regulated Credit Market As a Principal Multi Agent Interaction</w:t>
      </w:r>
    </w:p>
    <w:p w14:paraId="0F5B2372" w14:textId="77777777" w:rsidR="00CE1CB6" w:rsidRPr="00DA09BA" w:rsidRDefault="00CE1CB6"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58775892" w14:textId="512FE477" w:rsidR="00CE1CB6" w:rsidRDefault="00CE1CB6"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sidRPr="00DA09BA">
        <w:rPr>
          <w:rFonts w:ascii="Times New Roman" w:eastAsia="Times New Roman" w:hAnsi="Times New Roman" w:cs="Times New Roman"/>
          <w:color w:val="000000"/>
          <w:sz w:val="24"/>
          <w:szCs w:val="24"/>
          <w:shd w:val="clear" w:color="auto" w:fill="FFFFFF"/>
          <w:lang w:val="en-GB" w:eastAsia="de-DE"/>
        </w:rPr>
        <w:t>The aim of this</w:t>
      </w:r>
      <w:r>
        <w:rPr>
          <w:rFonts w:ascii="Times New Roman" w:eastAsia="Times New Roman" w:hAnsi="Times New Roman" w:cs="Times New Roman"/>
          <w:color w:val="000000"/>
          <w:sz w:val="24"/>
          <w:szCs w:val="24"/>
          <w:shd w:val="clear" w:color="auto" w:fill="FFFFFF"/>
          <w:lang w:val="en-GB" w:eastAsia="de-DE"/>
        </w:rPr>
        <w:t xml:space="preserve"> section is show</w:t>
      </w:r>
      <w:r w:rsidR="0075407B">
        <w:rPr>
          <w:rFonts w:ascii="Times New Roman" w:eastAsia="Times New Roman" w:hAnsi="Times New Roman" w:cs="Times New Roman"/>
          <w:color w:val="000000"/>
          <w:sz w:val="24"/>
          <w:szCs w:val="24"/>
          <w:shd w:val="clear" w:color="auto" w:fill="FFFFFF"/>
          <w:lang w:val="en-GB" w:eastAsia="de-DE"/>
        </w:rPr>
        <w:t>ing</w:t>
      </w:r>
      <w:r>
        <w:rPr>
          <w:rFonts w:ascii="Times New Roman" w:eastAsia="Times New Roman" w:hAnsi="Times New Roman" w:cs="Times New Roman"/>
          <w:color w:val="000000"/>
          <w:sz w:val="24"/>
          <w:szCs w:val="24"/>
          <w:shd w:val="clear" w:color="auto" w:fill="FFFFFF"/>
          <w:lang w:val="en-GB" w:eastAsia="de-DE"/>
        </w:rPr>
        <w:t xml:space="preserve"> the analytical potential of the principal multi agent model described in Section III. In our view, many features of the CCD87, </w:t>
      </w:r>
      <w:r w:rsidR="0044195E">
        <w:rPr>
          <w:rFonts w:ascii="Times New Roman" w:eastAsia="Times New Roman" w:hAnsi="Times New Roman" w:cs="Times New Roman"/>
          <w:color w:val="000000"/>
          <w:sz w:val="24"/>
          <w:szCs w:val="24"/>
          <w:shd w:val="clear" w:color="auto" w:fill="FFFFFF"/>
          <w:lang w:val="en-GB" w:eastAsia="de-DE"/>
        </w:rPr>
        <w:t xml:space="preserve">CCD and MCD can be </w:t>
      </w:r>
      <w:r w:rsidR="0075407B">
        <w:rPr>
          <w:rFonts w:ascii="Times New Roman" w:eastAsia="Times New Roman" w:hAnsi="Times New Roman" w:cs="Times New Roman"/>
          <w:color w:val="000000"/>
          <w:sz w:val="24"/>
          <w:szCs w:val="24"/>
          <w:shd w:val="clear" w:color="auto" w:fill="FFFFFF"/>
          <w:lang w:val="en-GB" w:eastAsia="de-DE"/>
        </w:rPr>
        <w:lastRenderedPageBreak/>
        <w:t>systemically discussed and compared easily within this model. In particular, the model helps to frame some regulatory choices</w:t>
      </w:r>
      <w:r w:rsidR="00C74DEF">
        <w:rPr>
          <w:rFonts w:ascii="Times New Roman" w:eastAsia="Times New Roman" w:hAnsi="Times New Roman" w:cs="Times New Roman"/>
          <w:color w:val="000000"/>
          <w:sz w:val="24"/>
          <w:szCs w:val="24"/>
          <w:shd w:val="clear" w:color="auto" w:fill="FFFFFF"/>
          <w:lang w:val="en-GB" w:eastAsia="de-DE"/>
        </w:rPr>
        <w:t xml:space="preserve"> which at first sight are puzzling and to spell out the factual assumptions under which these choices are convincing.</w:t>
      </w:r>
    </w:p>
    <w:p w14:paraId="38A61A7A" w14:textId="122ED527" w:rsidR="00C30116" w:rsidRDefault="00C30116" w:rsidP="008E4A29">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As seen in Section III, we consider consumers and entrepreneurs as primary agents and the legal system as monitoring agents. The legal system steps in to correct defects in the teamwork of the primary agents. The main strategies of teamwork of primary agents are three: bounded self-interested entrepreneurs, double agent entrepreneurs and entrepreneurs competing for </w:t>
      </w:r>
      <w:r w:rsidR="001827D5">
        <w:rPr>
          <w:rFonts w:ascii="Times New Roman" w:eastAsia="Times New Roman" w:hAnsi="Times New Roman" w:cs="Times New Roman"/>
          <w:color w:val="000000"/>
          <w:sz w:val="24"/>
          <w:szCs w:val="24"/>
          <w:shd w:val="clear" w:color="auto" w:fill="FFFFFF"/>
          <w:lang w:val="en-GB" w:eastAsia="de-DE"/>
        </w:rPr>
        <w:t xml:space="preserve">active </w:t>
      </w:r>
      <w:r>
        <w:rPr>
          <w:rFonts w:ascii="Times New Roman" w:eastAsia="Times New Roman" w:hAnsi="Times New Roman" w:cs="Times New Roman"/>
          <w:color w:val="000000"/>
          <w:sz w:val="24"/>
          <w:szCs w:val="24"/>
          <w:shd w:val="clear" w:color="auto" w:fill="FFFFFF"/>
          <w:lang w:val="en-GB" w:eastAsia="de-DE"/>
        </w:rPr>
        <w:t xml:space="preserve">consumers. </w:t>
      </w:r>
    </w:p>
    <w:p w14:paraId="4675AF38" w14:textId="01A7279C" w:rsidR="00C30116" w:rsidRDefault="00A5259E" w:rsidP="008E4A29">
      <w:pPr>
        <w:spacing w:after="120" w:line="240" w:lineRule="auto"/>
        <w:jc w:val="both"/>
        <w:rPr>
          <w:rFonts w:ascii="Times New Roman" w:eastAsia="Times New Roman" w:hAnsi="Times New Roman" w:cs="Times New Roman"/>
          <w:color w:val="000000"/>
          <w:sz w:val="24"/>
          <w:szCs w:val="24"/>
          <w:shd w:val="clear" w:color="auto" w:fill="FFFFFF"/>
          <w:lang w:val="en-US" w:eastAsia="de-DE"/>
        </w:rPr>
      </w:pPr>
      <w:r>
        <w:rPr>
          <w:rFonts w:ascii="Times New Roman" w:eastAsia="Times New Roman" w:hAnsi="Times New Roman" w:cs="Times New Roman"/>
          <w:color w:val="000000"/>
          <w:sz w:val="24"/>
          <w:szCs w:val="24"/>
          <w:shd w:val="clear" w:color="auto" w:fill="FFFFFF"/>
          <w:lang w:val="en-GB" w:eastAsia="de-DE"/>
        </w:rPr>
        <w:t xml:space="preserve">First of all, </w:t>
      </w:r>
      <w:r w:rsidR="00C30116">
        <w:rPr>
          <w:rFonts w:ascii="Times New Roman" w:eastAsia="Times New Roman" w:hAnsi="Times New Roman" w:cs="Times New Roman"/>
          <w:color w:val="000000"/>
          <w:sz w:val="24"/>
          <w:szCs w:val="24"/>
          <w:shd w:val="clear" w:color="auto" w:fill="FFFFFF"/>
          <w:lang w:val="en-GB" w:eastAsia="de-DE"/>
        </w:rPr>
        <w:t xml:space="preserve">EU credit market regulation tries to </w:t>
      </w:r>
      <w:r>
        <w:rPr>
          <w:rFonts w:ascii="Times New Roman" w:eastAsia="Times New Roman" w:hAnsi="Times New Roman" w:cs="Times New Roman"/>
          <w:color w:val="000000"/>
          <w:sz w:val="24"/>
          <w:szCs w:val="24"/>
          <w:shd w:val="clear" w:color="auto" w:fill="FFFFFF"/>
          <w:lang w:val="en-GB" w:eastAsia="de-DE"/>
        </w:rPr>
        <w:t>implement the</w:t>
      </w:r>
      <w:r w:rsidR="00C30116">
        <w:rPr>
          <w:rFonts w:ascii="Times New Roman" w:eastAsia="Times New Roman" w:hAnsi="Times New Roman" w:cs="Times New Roman"/>
          <w:color w:val="000000"/>
          <w:sz w:val="24"/>
          <w:szCs w:val="24"/>
          <w:shd w:val="clear" w:color="auto" w:fill="FFFFFF"/>
          <w:lang w:val="en-GB" w:eastAsia="de-DE"/>
        </w:rPr>
        <w:t xml:space="preserve"> competition for </w:t>
      </w:r>
      <w:r w:rsidR="00B70B0F">
        <w:rPr>
          <w:rFonts w:ascii="Times New Roman" w:eastAsia="Times New Roman" w:hAnsi="Times New Roman" w:cs="Times New Roman"/>
          <w:color w:val="000000"/>
          <w:sz w:val="24"/>
          <w:szCs w:val="24"/>
          <w:shd w:val="clear" w:color="auto" w:fill="FFFFFF"/>
          <w:lang w:val="en-GB" w:eastAsia="de-DE"/>
        </w:rPr>
        <w:t>active</w:t>
      </w:r>
      <w:r w:rsidR="00C30116">
        <w:rPr>
          <w:rFonts w:ascii="Times New Roman" w:eastAsia="Times New Roman" w:hAnsi="Times New Roman" w:cs="Times New Roman"/>
          <w:color w:val="000000"/>
          <w:sz w:val="24"/>
          <w:szCs w:val="24"/>
          <w:shd w:val="clear" w:color="auto" w:fill="FFFFFF"/>
          <w:lang w:val="en-GB" w:eastAsia="de-DE"/>
        </w:rPr>
        <w:t xml:space="preserve"> consumers</w:t>
      </w:r>
      <w:r w:rsidR="001D6927">
        <w:rPr>
          <w:rFonts w:ascii="Times New Roman" w:eastAsia="Times New Roman" w:hAnsi="Times New Roman" w:cs="Times New Roman"/>
          <w:color w:val="000000"/>
          <w:sz w:val="24"/>
          <w:szCs w:val="24"/>
          <w:shd w:val="clear" w:color="auto" w:fill="FFFFFF"/>
          <w:lang w:val="en-GB" w:eastAsia="de-DE"/>
        </w:rPr>
        <w:t xml:space="preserve"> </w:t>
      </w:r>
      <w:r>
        <w:rPr>
          <w:rFonts w:ascii="Times New Roman" w:eastAsia="Times New Roman" w:hAnsi="Times New Roman" w:cs="Times New Roman"/>
          <w:color w:val="000000"/>
          <w:sz w:val="24"/>
          <w:szCs w:val="24"/>
          <w:shd w:val="clear" w:color="auto" w:fill="FFFFFF"/>
          <w:lang w:val="en-GB" w:eastAsia="de-DE"/>
        </w:rPr>
        <w:t xml:space="preserve">type of teamwork </w:t>
      </w:r>
      <w:r w:rsidR="001D6927">
        <w:rPr>
          <w:rFonts w:ascii="Times New Roman" w:eastAsia="Times New Roman" w:hAnsi="Times New Roman" w:cs="Times New Roman"/>
          <w:color w:val="000000"/>
          <w:sz w:val="24"/>
          <w:szCs w:val="24"/>
          <w:shd w:val="clear" w:color="auto" w:fill="FFFFFF"/>
          <w:lang w:val="en-GB" w:eastAsia="de-DE"/>
        </w:rPr>
        <w:t>by strengthening the Single Market</w:t>
      </w:r>
      <w:r w:rsidR="00C30116">
        <w:rPr>
          <w:rFonts w:ascii="Times New Roman" w:eastAsia="Times New Roman" w:hAnsi="Times New Roman" w:cs="Times New Roman"/>
          <w:color w:val="000000"/>
          <w:sz w:val="24"/>
          <w:szCs w:val="24"/>
          <w:shd w:val="clear" w:color="auto" w:fill="FFFFFF"/>
          <w:lang w:val="en-GB" w:eastAsia="de-DE"/>
        </w:rPr>
        <w:t>.</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138"/>
      </w:r>
      <w:r>
        <w:rPr>
          <w:rFonts w:ascii="Times New Roman" w:eastAsia="Times New Roman" w:hAnsi="Times New Roman" w:cs="Times New Roman"/>
          <w:color w:val="000000"/>
          <w:sz w:val="24"/>
          <w:szCs w:val="24"/>
          <w:shd w:val="clear" w:color="auto" w:fill="FFFFFF"/>
          <w:lang w:val="en-GB" w:eastAsia="de-DE"/>
        </w:rPr>
        <w:t xml:space="preserve"> </w:t>
      </w:r>
      <w:r w:rsidR="00C30116">
        <w:rPr>
          <w:rFonts w:ascii="Times New Roman" w:eastAsia="Times New Roman" w:hAnsi="Times New Roman" w:cs="Times New Roman"/>
          <w:color w:val="000000"/>
          <w:sz w:val="24"/>
          <w:szCs w:val="24"/>
          <w:shd w:val="clear" w:color="auto" w:fill="FFFFFF"/>
          <w:lang w:val="en-GB" w:eastAsia="de-DE"/>
        </w:rPr>
        <w:t>The means to this end are primarily information disclosure duties, that have become more and more elaborate in time.</w:t>
      </w:r>
      <w:r w:rsidR="00C30116">
        <w:rPr>
          <w:rStyle w:val="Rimandonotaapidipagina"/>
          <w:rFonts w:ascii="Times New Roman" w:eastAsia="Times New Roman" w:hAnsi="Times New Roman" w:cs="Times New Roman"/>
          <w:color w:val="000000"/>
          <w:sz w:val="24"/>
          <w:szCs w:val="24"/>
          <w:shd w:val="clear" w:color="auto" w:fill="FFFFFF"/>
          <w:lang w:val="en-GB" w:eastAsia="de-DE"/>
        </w:rPr>
        <w:footnoteReference w:id="139"/>
      </w:r>
      <w:r w:rsidR="00C30116">
        <w:rPr>
          <w:rFonts w:ascii="Times New Roman" w:eastAsia="Times New Roman" w:hAnsi="Times New Roman" w:cs="Times New Roman"/>
          <w:color w:val="000000"/>
          <w:sz w:val="24"/>
          <w:szCs w:val="24"/>
          <w:shd w:val="clear" w:color="auto" w:fill="FFFFFF"/>
          <w:lang w:val="en-GB" w:eastAsia="de-DE"/>
        </w:rPr>
        <w:t xml:space="preserve"> These duties are supplement</w:t>
      </w:r>
      <w:r w:rsidR="00B2561A">
        <w:rPr>
          <w:rFonts w:ascii="Times New Roman" w:eastAsia="Times New Roman" w:hAnsi="Times New Roman" w:cs="Times New Roman"/>
          <w:color w:val="000000"/>
          <w:sz w:val="24"/>
          <w:szCs w:val="24"/>
          <w:shd w:val="clear" w:color="auto" w:fill="FFFFFF"/>
          <w:lang w:val="en-GB" w:eastAsia="de-DE"/>
        </w:rPr>
        <w:t>ed</w:t>
      </w:r>
      <w:r w:rsidR="00C30116">
        <w:rPr>
          <w:rFonts w:ascii="Times New Roman" w:eastAsia="Times New Roman" w:hAnsi="Times New Roman" w:cs="Times New Roman"/>
          <w:color w:val="000000"/>
          <w:sz w:val="24"/>
          <w:szCs w:val="24"/>
          <w:shd w:val="clear" w:color="auto" w:fill="FFFFFF"/>
          <w:lang w:val="en-GB" w:eastAsia="de-DE"/>
        </w:rPr>
        <w:t xml:space="preserve"> by a commitment to foster consumer financial education</w:t>
      </w:r>
      <w:r w:rsidR="00D812BB">
        <w:rPr>
          <w:rFonts w:ascii="Times New Roman" w:eastAsia="Times New Roman" w:hAnsi="Times New Roman" w:cs="Times New Roman"/>
          <w:color w:val="000000"/>
          <w:sz w:val="24"/>
          <w:szCs w:val="24"/>
          <w:shd w:val="clear" w:color="auto" w:fill="FFFFFF"/>
          <w:lang w:val="en-GB" w:eastAsia="de-DE"/>
        </w:rPr>
        <w:t>.</w:t>
      </w:r>
      <w:r w:rsidR="00C30116">
        <w:rPr>
          <w:rStyle w:val="Rimandonotaapidipagina"/>
          <w:rFonts w:ascii="Times New Roman" w:eastAsia="Times New Roman" w:hAnsi="Times New Roman" w:cs="Times New Roman"/>
          <w:color w:val="000000"/>
          <w:sz w:val="24"/>
          <w:szCs w:val="24"/>
          <w:shd w:val="clear" w:color="auto" w:fill="FFFFFF"/>
          <w:lang w:val="en-GB" w:eastAsia="de-DE"/>
        </w:rPr>
        <w:footnoteReference w:id="140"/>
      </w:r>
      <w:r w:rsidR="00C30116">
        <w:rPr>
          <w:rFonts w:ascii="Times New Roman" w:eastAsia="Times New Roman" w:hAnsi="Times New Roman" w:cs="Times New Roman"/>
          <w:color w:val="000000"/>
          <w:sz w:val="24"/>
          <w:szCs w:val="24"/>
          <w:shd w:val="clear" w:color="auto" w:fill="FFFFFF"/>
          <w:lang w:val="en-GB" w:eastAsia="de-DE"/>
        </w:rPr>
        <w:t xml:space="preserve"> </w:t>
      </w:r>
      <w:r w:rsidR="00D812BB">
        <w:rPr>
          <w:rFonts w:ascii="Times New Roman" w:eastAsia="Times New Roman" w:hAnsi="Times New Roman" w:cs="Times New Roman"/>
          <w:color w:val="000000"/>
          <w:sz w:val="24"/>
          <w:szCs w:val="24"/>
          <w:shd w:val="clear" w:color="auto" w:fill="FFFFFF"/>
          <w:lang w:val="en-GB" w:eastAsia="de-DE"/>
        </w:rPr>
        <w:t xml:space="preserve">On the </w:t>
      </w:r>
      <w:r w:rsidR="00B70B0F">
        <w:rPr>
          <w:rFonts w:ascii="Times New Roman" w:eastAsia="Times New Roman" w:hAnsi="Times New Roman" w:cs="Times New Roman"/>
          <w:color w:val="000000"/>
          <w:sz w:val="24"/>
          <w:szCs w:val="24"/>
          <w:shd w:val="clear" w:color="auto" w:fill="FFFFFF"/>
          <w:lang w:val="en-GB" w:eastAsia="de-DE"/>
        </w:rPr>
        <w:t>supply</w:t>
      </w:r>
      <w:r w:rsidR="00D812BB">
        <w:rPr>
          <w:rFonts w:ascii="Times New Roman" w:eastAsia="Times New Roman" w:hAnsi="Times New Roman" w:cs="Times New Roman"/>
          <w:color w:val="000000"/>
          <w:sz w:val="24"/>
          <w:szCs w:val="24"/>
          <w:shd w:val="clear" w:color="auto" w:fill="FFFFFF"/>
          <w:lang w:val="en-GB" w:eastAsia="de-DE"/>
        </w:rPr>
        <w:t xml:space="preserve"> side,</w:t>
      </w:r>
      <w:r w:rsidR="00C30116">
        <w:rPr>
          <w:rFonts w:ascii="Times New Roman" w:eastAsia="Times New Roman" w:hAnsi="Times New Roman" w:cs="Times New Roman"/>
          <w:color w:val="000000"/>
          <w:sz w:val="24"/>
          <w:szCs w:val="24"/>
          <w:shd w:val="clear" w:color="auto" w:fill="FFFFFF"/>
          <w:lang w:val="en-GB" w:eastAsia="de-DE"/>
        </w:rPr>
        <w:t xml:space="preserve"> </w:t>
      </w:r>
      <w:r w:rsidR="00D812BB">
        <w:rPr>
          <w:rFonts w:ascii="Times New Roman" w:eastAsia="Times New Roman" w:hAnsi="Times New Roman" w:cs="Times New Roman"/>
          <w:color w:val="000000"/>
          <w:sz w:val="24"/>
          <w:szCs w:val="24"/>
          <w:shd w:val="clear" w:color="auto" w:fill="FFFFFF"/>
          <w:lang w:val="en-GB" w:eastAsia="de-DE"/>
        </w:rPr>
        <w:t>EU law</w:t>
      </w:r>
      <w:r w:rsidR="00C30116">
        <w:rPr>
          <w:rFonts w:ascii="Times New Roman" w:eastAsia="Times New Roman" w:hAnsi="Times New Roman" w:cs="Times New Roman"/>
          <w:color w:val="000000"/>
          <w:sz w:val="24"/>
          <w:szCs w:val="24"/>
          <w:shd w:val="clear" w:color="auto" w:fill="FFFFFF"/>
          <w:lang w:val="en-GB" w:eastAsia="de-DE"/>
        </w:rPr>
        <w:t xml:space="preserve"> </w:t>
      </w:r>
      <w:r w:rsidR="00D812BB">
        <w:rPr>
          <w:rFonts w:ascii="Times New Roman" w:eastAsia="Times New Roman" w:hAnsi="Times New Roman" w:cs="Times New Roman"/>
          <w:color w:val="000000"/>
          <w:sz w:val="24"/>
          <w:szCs w:val="24"/>
          <w:shd w:val="clear" w:color="auto" w:fill="FFFFFF"/>
          <w:lang w:val="en-GB" w:eastAsia="de-DE"/>
        </w:rPr>
        <w:t>limits</w:t>
      </w:r>
      <w:r w:rsidR="00C30116">
        <w:rPr>
          <w:rFonts w:ascii="Times New Roman" w:eastAsia="Times New Roman" w:hAnsi="Times New Roman" w:cs="Times New Roman"/>
          <w:color w:val="000000"/>
          <w:sz w:val="24"/>
          <w:szCs w:val="24"/>
          <w:shd w:val="clear" w:color="auto" w:fill="FFFFFF"/>
          <w:lang w:val="en-GB" w:eastAsia="de-DE"/>
        </w:rPr>
        <w:t xml:space="preserve"> the entry to the market of entrepreneurial agents that have a sufficient expertise.</w:t>
      </w:r>
      <w:r w:rsidR="00D812BB">
        <w:rPr>
          <w:rFonts w:ascii="Times New Roman" w:eastAsia="Times New Roman" w:hAnsi="Times New Roman" w:cs="Times New Roman"/>
          <w:color w:val="000000"/>
          <w:sz w:val="24"/>
          <w:szCs w:val="24"/>
          <w:shd w:val="clear" w:color="auto" w:fill="FFFFFF"/>
          <w:lang w:val="en-GB" w:eastAsia="de-DE"/>
        </w:rPr>
        <w:t xml:space="preserve"> This approach is already an intrusive form of monitoring. Perhaps less intrusive, but more recent, is the attention paid to incentive</w:t>
      </w:r>
      <w:r>
        <w:rPr>
          <w:rFonts w:ascii="Times New Roman" w:eastAsia="Times New Roman" w:hAnsi="Times New Roman" w:cs="Times New Roman"/>
          <w:color w:val="000000"/>
          <w:sz w:val="24"/>
          <w:szCs w:val="24"/>
          <w:shd w:val="clear" w:color="auto" w:fill="FFFFFF"/>
          <w:lang w:val="en-GB" w:eastAsia="de-DE"/>
        </w:rPr>
        <w:t xml:space="preserve"> regulation</w:t>
      </w:r>
      <w:r w:rsidR="00D812BB">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t>
      </w:r>
      <w:r w:rsidR="00930768">
        <w:rPr>
          <w:rFonts w:ascii="Times New Roman" w:eastAsia="Times New Roman" w:hAnsi="Times New Roman" w:cs="Times New Roman"/>
          <w:color w:val="000000"/>
          <w:sz w:val="24"/>
          <w:szCs w:val="24"/>
          <w:shd w:val="clear" w:color="auto" w:fill="FFFFFF"/>
          <w:lang w:val="en-GB" w:eastAsia="de-DE"/>
        </w:rPr>
        <w:t>The MCD tries to avoid that the r</w:t>
      </w:r>
      <w:r>
        <w:rPr>
          <w:rFonts w:ascii="Times New Roman" w:eastAsia="Times New Roman" w:hAnsi="Times New Roman" w:cs="Times New Roman"/>
          <w:color w:val="000000"/>
          <w:sz w:val="24"/>
          <w:szCs w:val="24"/>
          <w:shd w:val="clear" w:color="auto" w:fill="FFFFFF"/>
          <w:lang w:val="en-GB" w:eastAsia="de-DE"/>
        </w:rPr>
        <w:t>emuneration mechanism of entrepreneurial agents push</w:t>
      </w:r>
      <w:r w:rsidR="00930768">
        <w:rPr>
          <w:rFonts w:ascii="Times New Roman" w:eastAsia="Times New Roman" w:hAnsi="Times New Roman" w:cs="Times New Roman"/>
          <w:color w:val="000000"/>
          <w:sz w:val="24"/>
          <w:szCs w:val="24"/>
          <w:shd w:val="clear" w:color="auto" w:fill="FFFFFF"/>
          <w:lang w:val="en-GB" w:eastAsia="de-DE"/>
        </w:rPr>
        <w:t>es</w:t>
      </w:r>
      <w:r>
        <w:rPr>
          <w:rFonts w:ascii="Times New Roman" w:eastAsia="Times New Roman" w:hAnsi="Times New Roman" w:cs="Times New Roman"/>
          <w:color w:val="000000"/>
          <w:sz w:val="24"/>
          <w:szCs w:val="24"/>
          <w:shd w:val="clear" w:color="auto" w:fill="FFFFFF"/>
          <w:lang w:val="en-GB" w:eastAsia="de-DE"/>
        </w:rPr>
        <w:t xml:space="preserve"> them to behave in disaccord with the consumer interest.</w:t>
      </w:r>
      <w:r w:rsidR="00D812BB">
        <w:rPr>
          <w:rStyle w:val="Rimandonotaapidipagina"/>
          <w:rFonts w:ascii="Times New Roman" w:eastAsia="Times New Roman" w:hAnsi="Times New Roman" w:cs="Times New Roman"/>
          <w:color w:val="000000"/>
          <w:sz w:val="24"/>
          <w:szCs w:val="24"/>
          <w:shd w:val="clear" w:color="auto" w:fill="FFFFFF"/>
          <w:lang w:val="en-GB" w:eastAsia="de-DE"/>
        </w:rPr>
        <w:footnoteReference w:id="141"/>
      </w:r>
      <w:r w:rsidR="00C06B3C">
        <w:rPr>
          <w:rFonts w:ascii="Times New Roman" w:eastAsia="Times New Roman" w:hAnsi="Times New Roman" w:cs="Times New Roman"/>
          <w:color w:val="000000"/>
          <w:sz w:val="24"/>
          <w:szCs w:val="24"/>
          <w:shd w:val="clear" w:color="auto" w:fill="FFFFFF"/>
          <w:lang w:val="en-GB" w:eastAsia="de-DE"/>
        </w:rPr>
        <w:t xml:space="preserve"> Finally, there are the protective duties. </w:t>
      </w:r>
      <w:r w:rsidR="00EA6B92">
        <w:rPr>
          <w:rFonts w:ascii="Times New Roman" w:eastAsia="Times New Roman" w:hAnsi="Times New Roman" w:cs="Times New Roman"/>
          <w:color w:val="000000"/>
          <w:sz w:val="24"/>
          <w:szCs w:val="24"/>
          <w:shd w:val="clear" w:color="auto" w:fill="FFFFFF"/>
          <w:lang w:val="en-GB" w:eastAsia="de-DE"/>
        </w:rPr>
        <w:t xml:space="preserve">They are basically absent in the CCD87. </w:t>
      </w:r>
      <w:r w:rsidR="00C06B3C">
        <w:rPr>
          <w:rFonts w:ascii="Times New Roman" w:eastAsia="Times New Roman" w:hAnsi="Times New Roman" w:cs="Times New Roman"/>
          <w:color w:val="000000"/>
          <w:sz w:val="24"/>
          <w:szCs w:val="24"/>
          <w:shd w:val="clear" w:color="auto" w:fill="FFFFFF"/>
          <w:lang w:val="en-GB" w:eastAsia="de-DE"/>
        </w:rPr>
        <w:t xml:space="preserve">The least intrusive </w:t>
      </w:r>
      <w:r w:rsidR="00EA6B92">
        <w:rPr>
          <w:rFonts w:ascii="Times New Roman" w:eastAsia="Times New Roman" w:hAnsi="Times New Roman" w:cs="Times New Roman"/>
          <w:color w:val="000000"/>
          <w:sz w:val="24"/>
          <w:szCs w:val="24"/>
          <w:shd w:val="clear" w:color="auto" w:fill="FFFFFF"/>
          <w:lang w:val="en-GB" w:eastAsia="de-DE"/>
        </w:rPr>
        <w:t xml:space="preserve">protective duty </w:t>
      </w:r>
      <w:r w:rsidR="00C06B3C">
        <w:rPr>
          <w:rFonts w:ascii="Times New Roman" w:eastAsia="Times New Roman" w:hAnsi="Times New Roman" w:cs="Times New Roman"/>
          <w:color w:val="000000"/>
          <w:sz w:val="24"/>
          <w:szCs w:val="24"/>
          <w:shd w:val="clear" w:color="auto" w:fill="FFFFFF"/>
          <w:lang w:val="en-GB" w:eastAsia="de-DE"/>
        </w:rPr>
        <w:t>is perhaps the duty to maintain the offer irrevoca</w:t>
      </w:r>
      <w:r w:rsidR="003A4D2E">
        <w:rPr>
          <w:rFonts w:ascii="Times New Roman" w:eastAsia="Times New Roman" w:hAnsi="Times New Roman" w:cs="Times New Roman"/>
          <w:color w:val="000000"/>
          <w:sz w:val="24"/>
          <w:szCs w:val="24"/>
          <w:shd w:val="clear" w:color="auto" w:fill="FFFFFF"/>
          <w:lang w:val="en-GB" w:eastAsia="de-DE"/>
        </w:rPr>
        <w:t>ble or to grant a right to with</w:t>
      </w:r>
      <w:r w:rsidR="00C06B3C">
        <w:rPr>
          <w:rFonts w:ascii="Times New Roman" w:eastAsia="Times New Roman" w:hAnsi="Times New Roman" w:cs="Times New Roman"/>
          <w:color w:val="000000"/>
          <w:sz w:val="24"/>
          <w:szCs w:val="24"/>
          <w:shd w:val="clear" w:color="auto" w:fill="FFFFFF"/>
          <w:lang w:val="en-GB" w:eastAsia="de-DE"/>
        </w:rPr>
        <w:t>draw in order to give the consumer a “sufficient time to compare offers, assess their implications and make an informed decision”.</w:t>
      </w:r>
      <w:r w:rsidR="00C06B3C">
        <w:rPr>
          <w:rStyle w:val="Rimandonotaapidipagina"/>
          <w:rFonts w:ascii="Times New Roman" w:eastAsia="Times New Roman" w:hAnsi="Times New Roman" w:cs="Times New Roman"/>
          <w:color w:val="000000"/>
          <w:sz w:val="24"/>
          <w:szCs w:val="24"/>
          <w:shd w:val="clear" w:color="auto" w:fill="FFFFFF"/>
          <w:lang w:val="en-GB" w:eastAsia="de-DE"/>
        </w:rPr>
        <w:footnoteReference w:id="142"/>
      </w:r>
      <w:r w:rsidR="00C06B3C">
        <w:rPr>
          <w:rFonts w:ascii="Times New Roman" w:eastAsia="Times New Roman" w:hAnsi="Times New Roman" w:cs="Times New Roman"/>
          <w:color w:val="000000"/>
          <w:sz w:val="24"/>
          <w:szCs w:val="24"/>
          <w:shd w:val="clear" w:color="auto" w:fill="FFFFFF"/>
          <w:lang w:val="en-GB" w:eastAsia="de-DE"/>
        </w:rPr>
        <w:t xml:space="preserve"> </w:t>
      </w:r>
      <w:r w:rsidR="00EA6B92">
        <w:rPr>
          <w:rFonts w:ascii="Times New Roman" w:eastAsia="Times New Roman" w:hAnsi="Times New Roman" w:cs="Times New Roman"/>
          <w:color w:val="000000"/>
          <w:sz w:val="24"/>
          <w:szCs w:val="24"/>
          <w:shd w:val="clear" w:color="auto" w:fill="FFFFFF"/>
          <w:lang w:val="en-GB" w:eastAsia="de-DE"/>
        </w:rPr>
        <w:t xml:space="preserve">Enhancing competition for </w:t>
      </w:r>
      <w:r w:rsidR="00930768">
        <w:rPr>
          <w:rFonts w:ascii="Times New Roman" w:eastAsia="Times New Roman" w:hAnsi="Times New Roman" w:cs="Times New Roman"/>
          <w:color w:val="000000"/>
          <w:sz w:val="24"/>
          <w:szCs w:val="24"/>
          <w:shd w:val="clear" w:color="auto" w:fill="FFFFFF"/>
          <w:lang w:val="en-GB" w:eastAsia="de-DE"/>
        </w:rPr>
        <w:t>active</w:t>
      </w:r>
      <w:r w:rsidR="00EA6B92">
        <w:rPr>
          <w:rFonts w:ascii="Times New Roman" w:eastAsia="Times New Roman" w:hAnsi="Times New Roman" w:cs="Times New Roman"/>
          <w:color w:val="000000"/>
          <w:sz w:val="24"/>
          <w:szCs w:val="24"/>
          <w:shd w:val="clear" w:color="auto" w:fill="FFFFFF"/>
          <w:lang w:val="en-GB" w:eastAsia="de-DE"/>
        </w:rPr>
        <w:t xml:space="preserve"> consumers is clearly the end. </w:t>
      </w:r>
      <w:r w:rsidR="00C06B3C">
        <w:rPr>
          <w:rFonts w:ascii="Times New Roman" w:eastAsia="Times New Roman" w:hAnsi="Times New Roman" w:cs="Times New Roman"/>
          <w:color w:val="000000"/>
          <w:sz w:val="24"/>
          <w:szCs w:val="24"/>
          <w:shd w:val="clear" w:color="auto" w:fill="FFFFFF"/>
          <w:lang w:val="en-GB" w:eastAsia="de-DE"/>
        </w:rPr>
        <w:t>The second is the advisory service</w:t>
      </w:r>
      <w:r w:rsidR="00EA6B92">
        <w:rPr>
          <w:rFonts w:ascii="Times New Roman" w:eastAsia="Times New Roman" w:hAnsi="Times New Roman" w:cs="Times New Roman"/>
          <w:color w:val="000000"/>
          <w:sz w:val="24"/>
          <w:szCs w:val="24"/>
          <w:shd w:val="clear" w:color="auto" w:fill="FFFFFF"/>
          <w:lang w:val="en-GB" w:eastAsia="de-DE"/>
        </w:rPr>
        <w:t>, introduced only by the MCD</w:t>
      </w:r>
      <w:r w:rsidR="00C06B3C">
        <w:rPr>
          <w:rFonts w:ascii="Times New Roman" w:eastAsia="Times New Roman" w:hAnsi="Times New Roman" w:cs="Times New Roman"/>
          <w:color w:val="000000"/>
          <w:sz w:val="24"/>
          <w:szCs w:val="24"/>
          <w:shd w:val="clear" w:color="auto" w:fill="FFFFFF"/>
          <w:lang w:val="en-GB" w:eastAsia="de-DE"/>
        </w:rPr>
        <w:t>. While not mandatory, financial entrepreneurs have the duty to inform if they provide it and, if they do, several elements of the transaction are regulated.</w:t>
      </w:r>
      <w:r w:rsidR="00C06B3C">
        <w:rPr>
          <w:rStyle w:val="Rimandonotaapidipagina"/>
          <w:rFonts w:ascii="Times New Roman" w:eastAsia="Times New Roman" w:hAnsi="Times New Roman" w:cs="Times New Roman"/>
          <w:color w:val="000000"/>
          <w:sz w:val="24"/>
          <w:szCs w:val="24"/>
          <w:shd w:val="clear" w:color="auto" w:fill="FFFFFF"/>
          <w:lang w:val="en-GB" w:eastAsia="de-DE"/>
        </w:rPr>
        <w:footnoteReference w:id="143"/>
      </w:r>
      <w:r w:rsidR="00EA6B92">
        <w:rPr>
          <w:rFonts w:ascii="Times New Roman" w:eastAsia="Times New Roman" w:hAnsi="Times New Roman" w:cs="Times New Roman"/>
          <w:color w:val="000000"/>
          <w:sz w:val="24"/>
          <w:szCs w:val="24"/>
          <w:shd w:val="clear" w:color="auto" w:fill="FFFFFF"/>
          <w:lang w:val="en-GB" w:eastAsia="de-DE"/>
        </w:rPr>
        <w:t xml:space="preserve"> Apart from the regulation of the termination of the regulation of the termination of open-end credit agreements in Art. 13(1), the only other form of protection introduced by the CCD is the right to early repayment, granted also by the MCD. </w:t>
      </w:r>
      <w:r w:rsidR="00761B80">
        <w:rPr>
          <w:rFonts w:ascii="Times New Roman" w:eastAsia="Times New Roman" w:hAnsi="Times New Roman" w:cs="Times New Roman"/>
          <w:color w:val="000000"/>
          <w:sz w:val="24"/>
          <w:szCs w:val="24"/>
          <w:shd w:val="clear" w:color="auto" w:fill="FFFFFF"/>
          <w:lang w:val="en-GB" w:eastAsia="de-DE"/>
        </w:rPr>
        <w:t>Quite surprisingly, this right is more pronounced in the CCD than in the MCD.</w:t>
      </w:r>
      <w:r w:rsidR="00761B80">
        <w:rPr>
          <w:rStyle w:val="Rimandonotaapidipagina"/>
          <w:rFonts w:ascii="Times New Roman" w:eastAsia="Times New Roman" w:hAnsi="Times New Roman" w:cs="Times New Roman"/>
          <w:color w:val="000000"/>
          <w:sz w:val="24"/>
          <w:szCs w:val="24"/>
          <w:shd w:val="clear" w:color="auto" w:fill="FFFFFF"/>
          <w:lang w:val="en-GB" w:eastAsia="de-DE"/>
        </w:rPr>
        <w:footnoteReference w:id="144"/>
      </w:r>
      <w:r w:rsidR="00761B80">
        <w:rPr>
          <w:rFonts w:ascii="Times New Roman" w:eastAsia="Times New Roman" w:hAnsi="Times New Roman" w:cs="Times New Roman"/>
          <w:color w:val="000000"/>
          <w:sz w:val="24"/>
          <w:szCs w:val="24"/>
          <w:shd w:val="clear" w:color="auto" w:fill="FFFFFF"/>
          <w:lang w:val="en-GB" w:eastAsia="de-DE"/>
        </w:rPr>
        <w:t xml:space="preserve"> </w:t>
      </w:r>
      <w:r w:rsidR="007E7E9A">
        <w:rPr>
          <w:rFonts w:ascii="Times New Roman" w:eastAsia="Times New Roman" w:hAnsi="Times New Roman" w:cs="Times New Roman"/>
          <w:color w:val="000000"/>
          <w:sz w:val="24"/>
          <w:szCs w:val="24"/>
          <w:shd w:val="clear" w:color="auto" w:fill="FFFFFF"/>
          <w:lang w:val="en-GB" w:eastAsia="de-DE"/>
        </w:rPr>
        <w:t>In fact</w:t>
      </w:r>
      <w:r w:rsidR="002F3300">
        <w:rPr>
          <w:rFonts w:ascii="Times New Roman" w:eastAsia="Times New Roman" w:hAnsi="Times New Roman" w:cs="Times New Roman"/>
          <w:color w:val="000000"/>
          <w:sz w:val="24"/>
          <w:szCs w:val="24"/>
          <w:shd w:val="clear" w:color="auto" w:fill="FFFFFF"/>
          <w:lang w:val="en-GB" w:eastAsia="de-DE"/>
        </w:rPr>
        <w:t>,</w:t>
      </w:r>
      <w:r w:rsidR="007E7E9A">
        <w:rPr>
          <w:rFonts w:ascii="Times New Roman" w:eastAsia="Times New Roman" w:hAnsi="Times New Roman" w:cs="Times New Roman"/>
          <w:color w:val="000000"/>
          <w:sz w:val="24"/>
          <w:szCs w:val="24"/>
          <w:shd w:val="clear" w:color="auto" w:fill="FFFFFF"/>
          <w:lang w:val="en-GB" w:eastAsia="de-DE"/>
        </w:rPr>
        <w:t xml:space="preserve"> contrary to the CCD,</w:t>
      </w:r>
      <w:r w:rsidR="002F3300">
        <w:rPr>
          <w:rFonts w:ascii="Times New Roman" w:eastAsia="Times New Roman" w:hAnsi="Times New Roman" w:cs="Times New Roman"/>
          <w:color w:val="000000"/>
          <w:sz w:val="24"/>
          <w:szCs w:val="24"/>
          <w:shd w:val="clear" w:color="auto" w:fill="FFFFFF"/>
          <w:lang w:val="en-GB" w:eastAsia="de-DE"/>
        </w:rPr>
        <w:t xml:space="preserve"> the MCD introduces several layers of consumer protection.</w:t>
      </w:r>
      <w:r w:rsidR="00A456D5">
        <w:rPr>
          <w:rStyle w:val="Rimandonotaapidipagina"/>
          <w:rFonts w:ascii="Times New Roman" w:eastAsia="Times New Roman" w:hAnsi="Times New Roman" w:cs="Times New Roman"/>
          <w:color w:val="000000"/>
          <w:sz w:val="24"/>
          <w:szCs w:val="24"/>
          <w:shd w:val="clear" w:color="auto" w:fill="FFFFFF"/>
          <w:lang w:val="en-GB" w:eastAsia="de-DE"/>
        </w:rPr>
        <w:footnoteReference w:id="145"/>
      </w:r>
      <w:r w:rsidR="00EA6B92">
        <w:rPr>
          <w:rFonts w:ascii="Times New Roman" w:eastAsia="Times New Roman" w:hAnsi="Times New Roman" w:cs="Times New Roman"/>
          <w:color w:val="000000"/>
          <w:sz w:val="24"/>
          <w:szCs w:val="24"/>
          <w:shd w:val="clear" w:color="auto" w:fill="FFFFFF"/>
          <w:lang w:val="en-GB" w:eastAsia="de-DE"/>
        </w:rPr>
        <w:t xml:space="preserve"> </w:t>
      </w:r>
      <w:r w:rsidR="001D2A4E">
        <w:rPr>
          <w:rFonts w:ascii="Times New Roman" w:eastAsia="Times New Roman" w:hAnsi="Times New Roman" w:cs="Times New Roman"/>
          <w:color w:val="000000"/>
          <w:sz w:val="24"/>
          <w:szCs w:val="24"/>
          <w:shd w:val="clear" w:color="auto" w:fill="FFFFFF"/>
          <w:lang w:val="en-GB" w:eastAsia="de-DE"/>
        </w:rPr>
        <w:t>For our purposes, two aspects are particularly important</w:t>
      </w:r>
      <w:r w:rsidR="007E7E9A">
        <w:rPr>
          <w:rFonts w:ascii="Times New Roman" w:eastAsia="Times New Roman" w:hAnsi="Times New Roman" w:cs="Times New Roman"/>
          <w:color w:val="000000"/>
          <w:sz w:val="24"/>
          <w:szCs w:val="24"/>
          <w:shd w:val="clear" w:color="auto" w:fill="FFFFFF"/>
          <w:lang w:val="en-GB" w:eastAsia="de-DE"/>
        </w:rPr>
        <w:t xml:space="preserve">: </w:t>
      </w:r>
      <w:r w:rsidR="00E2337D">
        <w:rPr>
          <w:rFonts w:ascii="Times New Roman" w:eastAsia="Times New Roman" w:hAnsi="Times New Roman" w:cs="Times New Roman"/>
          <w:color w:val="000000"/>
          <w:sz w:val="24"/>
          <w:szCs w:val="24"/>
          <w:shd w:val="clear" w:color="auto" w:fill="FFFFFF"/>
          <w:lang w:val="en-GB" w:eastAsia="de-DE"/>
        </w:rPr>
        <w:t>the duty of performing</w:t>
      </w:r>
      <w:r w:rsidR="00C06B3C">
        <w:rPr>
          <w:rFonts w:ascii="Times New Roman" w:eastAsia="Times New Roman" w:hAnsi="Times New Roman" w:cs="Times New Roman"/>
          <w:color w:val="000000"/>
          <w:sz w:val="24"/>
          <w:szCs w:val="24"/>
          <w:shd w:val="clear" w:color="auto" w:fill="FFFFFF"/>
          <w:lang w:val="en-GB" w:eastAsia="de-DE"/>
        </w:rPr>
        <w:t xml:space="preserve"> the creditworthiness assessment</w:t>
      </w:r>
      <w:r w:rsidR="007E7E9A">
        <w:rPr>
          <w:rFonts w:ascii="Times New Roman" w:eastAsia="Times New Roman" w:hAnsi="Times New Roman" w:cs="Times New Roman"/>
          <w:color w:val="000000"/>
          <w:sz w:val="24"/>
          <w:szCs w:val="24"/>
          <w:shd w:val="clear" w:color="auto" w:fill="FFFFFF"/>
          <w:lang w:val="en-GB" w:eastAsia="de-DE"/>
        </w:rPr>
        <w:t xml:space="preserve"> (</w:t>
      </w:r>
      <w:r w:rsidR="00E2337D">
        <w:rPr>
          <w:rFonts w:ascii="Times New Roman" w:eastAsia="Times New Roman" w:hAnsi="Times New Roman" w:cs="Times New Roman"/>
          <w:color w:val="000000"/>
          <w:sz w:val="24"/>
          <w:szCs w:val="24"/>
          <w:shd w:val="clear" w:color="auto" w:fill="FFFFFF"/>
          <w:lang w:val="en-GB" w:eastAsia="de-DE"/>
        </w:rPr>
        <w:t>which, if negative, imposes the denial of credit</w:t>
      </w:r>
      <w:r w:rsidR="00A456D5">
        <w:rPr>
          <w:rStyle w:val="Rimandonotaapidipagina"/>
          <w:rFonts w:ascii="Times New Roman" w:eastAsia="Times New Roman" w:hAnsi="Times New Roman" w:cs="Times New Roman"/>
          <w:color w:val="000000"/>
          <w:sz w:val="24"/>
          <w:szCs w:val="24"/>
          <w:shd w:val="clear" w:color="auto" w:fill="FFFFFF"/>
          <w:lang w:val="en-GB" w:eastAsia="de-DE"/>
        </w:rPr>
        <w:footnoteReference w:id="146"/>
      </w:r>
      <w:r w:rsidR="007E7E9A">
        <w:rPr>
          <w:rFonts w:ascii="Times New Roman" w:eastAsia="Times New Roman" w:hAnsi="Times New Roman" w:cs="Times New Roman"/>
          <w:color w:val="000000"/>
          <w:sz w:val="24"/>
          <w:szCs w:val="24"/>
          <w:shd w:val="clear" w:color="auto" w:fill="FFFFFF"/>
          <w:lang w:val="en-GB" w:eastAsia="de-DE"/>
        </w:rPr>
        <w:t>)</w:t>
      </w:r>
      <w:r w:rsidR="00E2337D">
        <w:rPr>
          <w:rFonts w:ascii="Times New Roman" w:eastAsia="Times New Roman" w:hAnsi="Times New Roman" w:cs="Times New Roman"/>
          <w:color w:val="000000"/>
          <w:sz w:val="24"/>
          <w:szCs w:val="24"/>
          <w:shd w:val="clear" w:color="auto" w:fill="FFFFFF"/>
          <w:lang w:val="en-GB" w:eastAsia="de-DE"/>
        </w:rPr>
        <w:t xml:space="preserve"> </w:t>
      </w:r>
      <w:r w:rsidR="007E7E9A">
        <w:rPr>
          <w:rFonts w:ascii="Times New Roman" w:eastAsia="Times New Roman" w:hAnsi="Times New Roman" w:cs="Times New Roman"/>
          <w:color w:val="000000"/>
          <w:sz w:val="24"/>
          <w:szCs w:val="24"/>
          <w:shd w:val="clear" w:color="auto" w:fill="FFFFFF"/>
          <w:lang w:val="en-GB" w:eastAsia="de-DE"/>
        </w:rPr>
        <w:t>and</w:t>
      </w:r>
      <w:r w:rsidR="00E2337D">
        <w:rPr>
          <w:rFonts w:ascii="Times New Roman" w:eastAsia="Times New Roman" w:hAnsi="Times New Roman" w:cs="Times New Roman"/>
          <w:color w:val="000000"/>
          <w:sz w:val="24"/>
          <w:szCs w:val="24"/>
          <w:shd w:val="clear" w:color="auto" w:fill="FFFFFF"/>
          <w:lang w:val="en-GB" w:eastAsia="de-DE"/>
        </w:rPr>
        <w:t xml:space="preserve"> </w:t>
      </w:r>
      <w:r w:rsidR="007E7E9A">
        <w:rPr>
          <w:rFonts w:ascii="Times New Roman" w:eastAsia="Times New Roman" w:hAnsi="Times New Roman" w:cs="Times New Roman"/>
          <w:color w:val="000000"/>
          <w:sz w:val="24"/>
          <w:szCs w:val="24"/>
          <w:shd w:val="clear" w:color="auto" w:fill="FFFFFF"/>
          <w:lang w:val="en-GB" w:eastAsia="de-DE"/>
        </w:rPr>
        <w:t xml:space="preserve">to compare the implementation of the best interest of consumers in </w:t>
      </w:r>
      <w:r w:rsidR="00E2337D">
        <w:rPr>
          <w:rFonts w:ascii="Times New Roman" w:eastAsia="Times New Roman" w:hAnsi="Times New Roman" w:cs="Times New Roman"/>
          <w:color w:val="000000"/>
          <w:sz w:val="24"/>
          <w:szCs w:val="24"/>
          <w:shd w:val="clear" w:color="auto" w:fill="FFFFFF"/>
          <w:lang w:val="en-GB" w:eastAsia="de-DE"/>
        </w:rPr>
        <w:t>the ban of tying practices</w:t>
      </w:r>
      <w:r w:rsidR="007E7E9A">
        <w:rPr>
          <w:rFonts w:ascii="Times New Roman" w:eastAsia="Times New Roman" w:hAnsi="Times New Roman" w:cs="Times New Roman"/>
          <w:color w:val="000000"/>
          <w:sz w:val="24"/>
          <w:szCs w:val="24"/>
          <w:shd w:val="clear" w:color="auto" w:fill="FFFFFF"/>
          <w:lang w:val="en-GB" w:eastAsia="de-DE"/>
        </w:rPr>
        <w:t xml:space="preserve"> and in advisory services</w:t>
      </w:r>
      <w:r w:rsidR="00C06B3C">
        <w:rPr>
          <w:rFonts w:ascii="Times New Roman" w:eastAsia="Times New Roman" w:hAnsi="Times New Roman" w:cs="Times New Roman"/>
          <w:color w:val="000000"/>
          <w:sz w:val="24"/>
          <w:szCs w:val="24"/>
          <w:shd w:val="clear" w:color="auto" w:fill="FFFFFF"/>
          <w:lang w:val="en-GB" w:eastAsia="de-DE"/>
        </w:rPr>
        <w:t>.</w:t>
      </w:r>
      <w:r w:rsidR="00C06B3C">
        <w:rPr>
          <w:rStyle w:val="Rimandonotaapidipagina"/>
          <w:rFonts w:ascii="Times New Roman" w:eastAsia="Times New Roman" w:hAnsi="Times New Roman" w:cs="Times New Roman"/>
          <w:color w:val="000000"/>
          <w:sz w:val="24"/>
          <w:szCs w:val="24"/>
          <w:shd w:val="clear" w:color="auto" w:fill="FFFFFF"/>
          <w:lang w:val="en-GB" w:eastAsia="de-DE"/>
        </w:rPr>
        <w:footnoteReference w:id="147"/>
      </w:r>
      <w:r w:rsidR="00C06B3C">
        <w:rPr>
          <w:rFonts w:ascii="Times New Roman" w:eastAsia="Times New Roman" w:hAnsi="Times New Roman" w:cs="Times New Roman"/>
          <w:color w:val="000000"/>
          <w:sz w:val="24"/>
          <w:szCs w:val="24"/>
          <w:shd w:val="clear" w:color="auto" w:fill="FFFFFF"/>
          <w:lang w:val="en-GB" w:eastAsia="de-DE"/>
        </w:rPr>
        <w:t xml:space="preserve"> </w:t>
      </w:r>
      <w:r w:rsidR="00E2337D">
        <w:rPr>
          <w:rFonts w:ascii="Times New Roman" w:eastAsia="Times New Roman" w:hAnsi="Times New Roman" w:cs="Times New Roman"/>
          <w:color w:val="000000"/>
          <w:sz w:val="24"/>
          <w:szCs w:val="24"/>
          <w:shd w:val="clear" w:color="auto" w:fill="FFFFFF"/>
          <w:lang w:val="en-US" w:eastAsia="de-DE"/>
        </w:rPr>
        <w:t>Creditworthiness assessment is viewed by legal scholars as the imposition of a fiduciary duty on financial entrepreneurs</w:t>
      </w:r>
      <w:r w:rsidR="001D2A4E">
        <w:rPr>
          <w:rFonts w:ascii="Times New Roman" w:eastAsia="Times New Roman" w:hAnsi="Times New Roman" w:cs="Times New Roman"/>
          <w:color w:val="000000"/>
          <w:sz w:val="24"/>
          <w:szCs w:val="24"/>
          <w:shd w:val="clear" w:color="auto" w:fill="FFFFFF"/>
          <w:lang w:val="en-US" w:eastAsia="de-DE"/>
        </w:rPr>
        <w:t xml:space="preserve"> which is </w:t>
      </w:r>
      <w:r w:rsidR="00DE01EB">
        <w:rPr>
          <w:rFonts w:ascii="Times New Roman" w:eastAsia="Times New Roman" w:hAnsi="Times New Roman" w:cs="Times New Roman"/>
          <w:color w:val="000000"/>
          <w:sz w:val="24"/>
          <w:szCs w:val="24"/>
          <w:shd w:val="clear" w:color="auto" w:fill="FFFFFF"/>
          <w:lang w:val="en-US" w:eastAsia="de-DE"/>
        </w:rPr>
        <w:t>“atypical … to the commercial contract”</w:t>
      </w:r>
      <w:r w:rsidR="002D5276" w:rsidRPr="00DA09BA">
        <w:rPr>
          <w:rFonts w:ascii="Times New Roman" w:eastAsia="Times New Roman" w:hAnsi="Times New Roman" w:cs="Times New Roman"/>
          <w:color w:val="000000"/>
          <w:sz w:val="24"/>
          <w:szCs w:val="24"/>
          <w:shd w:val="clear" w:color="auto" w:fill="FFFFFF"/>
          <w:lang w:val="en-US" w:eastAsia="de-DE"/>
        </w:rPr>
        <w:t>.</w:t>
      </w:r>
      <w:r w:rsidR="00E2337D">
        <w:rPr>
          <w:rStyle w:val="Rimandonotaapidipagina"/>
          <w:rFonts w:ascii="Times New Roman" w:eastAsia="Times New Roman" w:hAnsi="Times New Roman" w:cs="Times New Roman"/>
          <w:color w:val="000000"/>
          <w:sz w:val="24"/>
          <w:szCs w:val="24"/>
          <w:shd w:val="clear" w:color="auto" w:fill="FFFFFF"/>
          <w:lang w:val="en-US" w:eastAsia="de-DE"/>
        </w:rPr>
        <w:footnoteReference w:id="148"/>
      </w:r>
      <w:r w:rsidR="00B70B0F">
        <w:rPr>
          <w:rFonts w:ascii="Times New Roman" w:eastAsia="Times New Roman" w:hAnsi="Times New Roman" w:cs="Times New Roman"/>
          <w:color w:val="000000"/>
          <w:sz w:val="24"/>
          <w:szCs w:val="24"/>
          <w:shd w:val="clear" w:color="auto" w:fill="FFFFFF"/>
          <w:lang w:val="en-US" w:eastAsia="de-DE"/>
        </w:rPr>
        <w:t xml:space="preserve"> Indeed, we see</w:t>
      </w:r>
      <w:r w:rsidR="00023861">
        <w:rPr>
          <w:rFonts w:ascii="Times New Roman" w:eastAsia="Times New Roman" w:hAnsi="Times New Roman" w:cs="Times New Roman"/>
          <w:color w:val="000000"/>
          <w:sz w:val="24"/>
          <w:szCs w:val="24"/>
          <w:shd w:val="clear" w:color="auto" w:fill="FFFFFF"/>
          <w:lang w:val="en-US" w:eastAsia="de-DE"/>
        </w:rPr>
        <w:t xml:space="preserve"> clearly</w:t>
      </w:r>
      <w:r w:rsidR="00B70B0F">
        <w:rPr>
          <w:rFonts w:ascii="Times New Roman" w:eastAsia="Times New Roman" w:hAnsi="Times New Roman" w:cs="Times New Roman"/>
          <w:color w:val="000000"/>
          <w:sz w:val="24"/>
          <w:szCs w:val="24"/>
          <w:shd w:val="clear" w:color="auto" w:fill="FFFFFF"/>
          <w:lang w:val="en-US" w:eastAsia="de-DE"/>
        </w:rPr>
        <w:t xml:space="preserve"> that there is a higher burden on the financial </w:t>
      </w:r>
      <w:r w:rsidR="00B70B0F">
        <w:rPr>
          <w:rFonts w:ascii="Times New Roman" w:eastAsia="Times New Roman" w:hAnsi="Times New Roman" w:cs="Times New Roman"/>
          <w:color w:val="000000"/>
          <w:sz w:val="24"/>
          <w:szCs w:val="24"/>
          <w:shd w:val="clear" w:color="auto" w:fill="FFFFFF"/>
          <w:lang w:val="en-US" w:eastAsia="de-DE"/>
        </w:rPr>
        <w:lastRenderedPageBreak/>
        <w:t>entrepreneur than on the consumer if one compare</w:t>
      </w:r>
      <w:r w:rsidR="00023861">
        <w:rPr>
          <w:rFonts w:ascii="Times New Roman" w:eastAsia="Times New Roman" w:hAnsi="Times New Roman" w:cs="Times New Roman"/>
          <w:color w:val="000000"/>
          <w:sz w:val="24"/>
          <w:szCs w:val="24"/>
          <w:shd w:val="clear" w:color="auto" w:fill="FFFFFF"/>
          <w:lang w:val="en-US" w:eastAsia="de-DE"/>
        </w:rPr>
        <w:t>s</w:t>
      </w:r>
      <w:r w:rsidR="00B70B0F">
        <w:rPr>
          <w:rFonts w:ascii="Times New Roman" w:eastAsia="Times New Roman" w:hAnsi="Times New Roman" w:cs="Times New Roman"/>
          <w:color w:val="000000"/>
          <w:sz w:val="24"/>
          <w:szCs w:val="24"/>
          <w:shd w:val="clear" w:color="auto" w:fill="FFFFFF"/>
          <w:lang w:val="en-US" w:eastAsia="de-DE"/>
        </w:rPr>
        <w:t xml:space="preserve"> the duty of responsible lending with the duty of responsible borrowing. While responsible lending requires the creditworthiness assessment, responsible borrowing requires only the duty to disclose information in a non-intentionally incomplete or falsified way.</w:t>
      </w:r>
      <w:r w:rsidR="00023861">
        <w:rPr>
          <w:rStyle w:val="Rimandonotaapidipagina"/>
          <w:rFonts w:ascii="Times New Roman" w:eastAsia="Times New Roman" w:hAnsi="Times New Roman" w:cs="Times New Roman"/>
          <w:color w:val="000000"/>
          <w:sz w:val="24"/>
          <w:szCs w:val="24"/>
          <w:shd w:val="clear" w:color="auto" w:fill="FFFFFF"/>
          <w:lang w:val="en-US" w:eastAsia="de-DE"/>
        </w:rPr>
        <w:footnoteReference w:id="149"/>
      </w:r>
      <w:r w:rsidR="001D2A4E">
        <w:rPr>
          <w:rFonts w:ascii="Times New Roman" w:eastAsia="Times New Roman" w:hAnsi="Times New Roman" w:cs="Times New Roman"/>
          <w:color w:val="000000"/>
          <w:sz w:val="24"/>
          <w:szCs w:val="24"/>
          <w:shd w:val="clear" w:color="auto" w:fill="FFFFFF"/>
          <w:lang w:val="en-US" w:eastAsia="de-DE"/>
        </w:rPr>
        <w:t xml:space="preserve"> </w:t>
      </w:r>
      <w:r w:rsidR="007E7E9A">
        <w:rPr>
          <w:rFonts w:ascii="Times New Roman" w:eastAsia="Times New Roman" w:hAnsi="Times New Roman" w:cs="Times New Roman"/>
          <w:color w:val="000000"/>
          <w:sz w:val="24"/>
          <w:szCs w:val="24"/>
          <w:shd w:val="clear" w:color="auto" w:fill="FFFFFF"/>
          <w:lang w:val="en-US" w:eastAsia="de-DE"/>
        </w:rPr>
        <w:t>We can now move to the second point, comparing how</w:t>
      </w:r>
      <w:r w:rsidR="001D2A4E">
        <w:rPr>
          <w:rFonts w:ascii="Times New Roman" w:eastAsia="Times New Roman" w:hAnsi="Times New Roman" w:cs="Times New Roman"/>
          <w:color w:val="000000"/>
          <w:sz w:val="24"/>
          <w:szCs w:val="24"/>
          <w:shd w:val="clear" w:color="auto" w:fill="FFFFFF"/>
          <w:lang w:val="en-US" w:eastAsia="de-DE"/>
        </w:rPr>
        <w:t xml:space="preserve"> </w:t>
      </w:r>
      <w:r w:rsidR="007E7E9A">
        <w:rPr>
          <w:rFonts w:ascii="Times New Roman" w:eastAsia="Times New Roman" w:hAnsi="Times New Roman" w:cs="Times New Roman"/>
          <w:color w:val="000000"/>
          <w:sz w:val="24"/>
          <w:szCs w:val="24"/>
          <w:shd w:val="clear" w:color="auto" w:fill="FFFFFF"/>
          <w:lang w:val="en-US" w:eastAsia="de-DE"/>
        </w:rPr>
        <w:t>the</w:t>
      </w:r>
      <w:r w:rsidR="001D2A4E">
        <w:rPr>
          <w:rFonts w:ascii="Times New Roman" w:eastAsia="Times New Roman" w:hAnsi="Times New Roman" w:cs="Times New Roman"/>
          <w:color w:val="000000"/>
          <w:sz w:val="24"/>
          <w:szCs w:val="24"/>
          <w:shd w:val="clear" w:color="auto" w:fill="FFFFFF"/>
          <w:lang w:val="en-US" w:eastAsia="de-DE"/>
        </w:rPr>
        <w:t xml:space="preserve"> best interest of consumers</w:t>
      </w:r>
      <w:r w:rsidR="007E7E9A">
        <w:rPr>
          <w:rFonts w:ascii="Times New Roman" w:eastAsia="Times New Roman" w:hAnsi="Times New Roman" w:cs="Times New Roman"/>
          <w:color w:val="000000"/>
          <w:sz w:val="24"/>
          <w:szCs w:val="24"/>
          <w:shd w:val="clear" w:color="auto" w:fill="FFFFFF"/>
          <w:lang w:val="en-US" w:eastAsia="de-DE"/>
        </w:rPr>
        <w:t xml:space="preserve"> is enshrined in</w:t>
      </w:r>
      <w:r w:rsidR="001D2A4E">
        <w:rPr>
          <w:rFonts w:ascii="Times New Roman" w:eastAsia="Times New Roman" w:hAnsi="Times New Roman" w:cs="Times New Roman"/>
          <w:color w:val="000000"/>
          <w:sz w:val="24"/>
          <w:szCs w:val="24"/>
          <w:shd w:val="clear" w:color="auto" w:fill="FFFFFF"/>
          <w:lang w:val="en-US" w:eastAsia="de-DE"/>
        </w:rPr>
        <w:t xml:space="preserve"> the ban (with some exception) of tying practices and to advisory services. In the first case, the approach is the ban of the practice. What financial entrepreneurs have to do is, ultimately, offering two or more financial products both together and separate. This obligation is easy to enforce.</w:t>
      </w:r>
      <w:r w:rsidR="007E7E9A">
        <w:rPr>
          <w:rFonts w:ascii="Times New Roman" w:eastAsia="Times New Roman" w:hAnsi="Times New Roman" w:cs="Times New Roman"/>
          <w:color w:val="000000"/>
          <w:sz w:val="24"/>
          <w:szCs w:val="24"/>
          <w:shd w:val="clear" w:color="auto" w:fill="FFFFFF"/>
          <w:lang w:val="en-US" w:eastAsia="de-DE"/>
        </w:rPr>
        <w:t xml:space="preserve"> Besides, the </w:t>
      </w:r>
      <w:r w:rsidR="00A456D5">
        <w:rPr>
          <w:rFonts w:ascii="Times New Roman" w:eastAsia="Times New Roman" w:hAnsi="Times New Roman" w:cs="Times New Roman"/>
          <w:color w:val="000000"/>
          <w:sz w:val="24"/>
          <w:szCs w:val="24"/>
          <w:shd w:val="clear" w:color="auto" w:fill="FFFFFF"/>
          <w:lang w:val="en-US" w:eastAsia="de-DE"/>
        </w:rPr>
        <w:t>burden</w:t>
      </w:r>
      <w:r w:rsidR="007E7E9A">
        <w:rPr>
          <w:rFonts w:ascii="Times New Roman" w:eastAsia="Times New Roman" w:hAnsi="Times New Roman" w:cs="Times New Roman"/>
          <w:color w:val="000000"/>
          <w:sz w:val="24"/>
          <w:szCs w:val="24"/>
          <w:shd w:val="clear" w:color="auto" w:fill="FFFFFF"/>
          <w:lang w:val="en-US" w:eastAsia="de-DE"/>
        </w:rPr>
        <w:t xml:space="preserve"> to entrepreneurs is low because they simply have to offer the products together, but also separate. In the case of the advisory service</w:t>
      </w:r>
      <w:r w:rsidR="001D2A4E">
        <w:rPr>
          <w:rFonts w:ascii="Times New Roman" w:eastAsia="Times New Roman" w:hAnsi="Times New Roman" w:cs="Times New Roman"/>
          <w:color w:val="000000"/>
          <w:sz w:val="24"/>
          <w:szCs w:val="24"/>
          <w:shd w:val="clear" w:color="auto" w:fill="FFFFFF"/>
          <w:lang w:val="en-US" w:eastAsia="de-DE"/>
        </w:rPr>
        <w:t>, we have seen that one may wonder why the advisor does not have to suggest “the most suitable” or rank the</w:t>
      </w:r>
      <w:r w:rsidR="007E7E9A">
        <w:rPr>
          <w:rFonts w:ascii="Times New Roman" w:eastAsia="Times New Roman" w:hAnsi="Times New Roman" w:cs="Times New Roman"/>
          <w:color w:val="000000"/>
          <w:sz w:val="24"/>
          <w:szCs w:val="24"/>
          <w:shd w:val="clear" w:color="auto" w:fill="FFFFFF"/>
          <w:lang w:val="en-US" w:eastAsia="de-DE"/>
        </w:rPr>
        <w:t xml:space="preserve"> suitable</w:t>
      </w:r>
      <w:r w:rsidR="001D2A4E">
        <w:rPr>
          <w:rFonts w:ascii="Times New Roman" w:eastAsia="Times New Roman" w:hAnsi="Times New Roman" w:cs="Times New Roman"/>
          <w:color w:val="000000"/>
          <w:sz w:val="24"/>
          <w:szCs w:val="24"/>
          <w:shd w:val="clear" w:color="auto" w:fill="FFFFFF"/>
          <w:lang w:val="en-US" w:eastAsia="de-DE"/>
        </w:rPr>
        <w:t xml:space="preserve"> products in order of convenience. An explanation can be found at the level of institutional capabilities. As seen, financial agents have to comply with specific duties of financial competence. Courts, to the contrary, do not. Therefore, to include “the most suitable” or the ranking criteria in the advising service would have</w:t>
      </w:r>
      <w:r w:rsidR="00B70B0F">
        <w:rPr>
          <w:rFonts w:ascii="Times New Roman" w:eastAsia="Times New Roman" w:hAnsi="Times New Roman" w:cs="Times New Roman"/>
          <w:color w:val="000000"/>
          <w:sz w:val="24"/>
          <w:szCs w:val="24"/>
          <w:shd w:val="clear" w:color="auto" w:fill="FFFFFF"/>
          <w:lang w:val="en-US" w:eastAsia="de-DE"/>
        </w:rPr>
        <w:t xml:space="preserve"> extended too much their monitoring powers. If this is the explanation, the issue then can be analyzed in terms of its soundness. </w:t>
      </w:r>
      <w:r w:rsidR="007E7E9A">
        <w:rPr>
          <w:rFonts w:ascii="Times New Roman" w:eastAsia="Times New Roman" w:hAnsi="Times New Roman" w:cs="Times New Roman"/>
          <w:color w:val="000000"/>
          <w:sz w:val="24"/>
          <w:szCs w:val="24"/>
          <w:shd w:val="clear" w:color="auto" w:fill="FFFFFF"/>
          <w:lang w:val="en-US" w:eastAsia="de-DE"/>
        </w:rPr>
        <w:t>Ultimately, t</w:t>
      </w:r>
      <w:r w:rsidR="00B70B0F">
        <w:rPr>
          <w:rFonts w:ascii="Times New Roman" w:eastAsia="Times New Roman" w:hAnsi="Times New Roman" w:cs="Times New Roman"/>
          <w:color w:val="000000"/>
          <w:sz w:val="24"/>
          <w:szCs w:val="24"/>
          <w:shd w:val="clear" w:color="auto" w:fill="FFFFFF"/>
          <w:lang w:val="en-US" w:eastAsia="de-DE"/>
        </w:rPr>
        <w:t xml:space="preserve">he MCD version of the suitability test </w:t>
      </w:r>
      <w:r w:rsidR="007E7E9A">
        <w:rPr>
          <w:rFonts w:ascii="Times New Roman" w:eastAsia="Times New Roman" w:hAnsi="Times New Roman" w:cs="Times New Roman"/>
          <w:color w:val="000000"/>
          <w:sz w:val="24"/>
          <w:szCs w:val="24"/>
          <w:shd w:val="clear" w:color="auto" w:fill="FFFFFF"/>
          <w:lang w:val="en-US" w:eastAsia="de-DE"/>
        </w:rPr>
        <w:t xml:space="preserve">enshrined in the advisory service </w:t>
      </w:r>
      <w:r w:rsidR="00B70B0F">
        <w:rPr>
          <w:rFonts w:ascii="Times New Roman" w:eastAsia="Times New Roman" w:hAnsi="Times New Roman" w:cs="Times New Roman"/>
          <w:color w:val="000000"/>
          <w:sz w:val="24"/>
          <w:szCs w:val="24"/>
          <w:shd w:val="clear" w:color="auto" w:fill="FFFFFF"/>
          <w:lang w:val="en-US" w:eastAsia="de-DE"/>
        </w:rPr>
        <w:t xml:space="preserve">leaves it up to the consumer to decide which financial product is the most suitable. </w:t>
      </w:r>
      <w:r w:rsidR="007E7E9A">
        <w:rPr>
          <w:rFonts w:ascii="Times New Roman" w:eastAsia="Times New Roman" w:hAnsi="Times New Roman" w:cs="Times New Roman"/>
          <w:color w:val="000000"/>
          <w:sz w:val="24"/>
          <w:szCs w:val="24"/>
          <w:shd w:val="clear" w:color="auto" w:fill="FFFFFF"/>
          <w:lang w:val="en-US" w:eastAsia="de-DE"/>
        </w:rPr>
        <w:t>In our framework, t</w:t>
      </w:r>
      <w:r w:rsidR="00B70B0F">
        <w:rPr>
          <w:rFonts w:ascii="Times New Roman" w:eastAsia="Times New Roman" w:hAnsi="Times New Roman" w:cs="Times New Roman"/>
          <w:color w:val="000000"/>
          <w:sz w:val="24"/>
          <w:szCs w:val="24"/>
          <w:shd w:val="clear" w:color="auto" w:fill="FFFFFF"/>
          <w:lang w:val="en-US" w:eastAsia="de-DE"/>
        </w:rPr>
        <w:t xml:space="preserve">he implicit normative evaluation is that consumer welfare is going to be higher under the MCD version of the suitability test than under </w:t>
      </w:r>
      <w:r w:rsidR="007E7E9A">
        <w:rPr>
          <w:rFonts w:ascii="Times New Roman" w:eastAsia="Times New Roman" w:hAnsi="Times New Roman" w:cs="Times New Roman"/>
          <w:color w:val="000000"/>
          <w:sz w:val="24"/>
          <w:szCs w:val="24"/>
          <w:shd w:val="clear" w:color="auto" w:fill="FFFFFF"/>
          <w:lang w:val="en-US" w:eastAsia="de-DE"/>
        </w:rPr>
        <w:t>“</w:t>
      </w:r>
      <w:r w:rsidR="00B70B0F">
        <w:rPr>
          <w:rFonts w:ascii="Times New Roman" w:eastAsia="Times New Roman" w:hAnsi="Times New Roman" w:cs="Times New Roman"/>
          <w:color w:val="000000"/>
          <w:sz w:val="24"/>
          <w:szCs w:val="24"/>
          <w:shd w:val="clear" w:color="auto" w:fill="FFFFFF"/>
          <w:lang w:val="en-US" w:eastAsia="de-DE"/>
        </w:rPr>
        <w:t xml:space="preserve">the </w:t>
      </w:r>
      <w:r w:rsidR="007E7E9A">
        <w:rPr>
          <w:rFonts w:ascii="Times New Roman" w:eastAsia="Times New Roman" w:hAnsi="Times New Roman" w:cs="Times New Roman"/>
          <w:color w:val="000000"/>
          <w:sz w:val="24"/>
          <w:szCs w:val="24"/>
          <w:shd w:val="clear" w:color="auto" w:fill="FFFFFF"/>
          <w:lang w:val="en-US" w:eastAsia="de-DE"/>
        </w:rPr>
        <w:t>most suitable”</w:t>
      </w:r>
      <w:r w:rsidR="00B70B0F">
        <w:rPr>
          <w:rFonts w:ascii="Times New Roman" w:eastAsia="Times New Roman" w:hAnsi="Times New Roman" w:cs="Times New Roman"/>
          <w:color w:val="000000"/>
          <w:sz w:val="24"/>
          <w:szCs w:val="24"/>
          <w:shd w:val="clear" w:color="auto" w:fill="FFFFFF"/>
          <w:lang w:val="en-US" w:eastAsia="de-DE"/>
        </w:rPr>
        <w:t xml:space="preserve"> version of test. This would require consumers to outperform the interplay of the duty on the advisor and the screening of the legal system in terms of allocative efficiency. As courts can be assisted by experts, the argument in favor of the MCD version of the test does not appear particularly convincing. Entering in the details of this aspect is beyond our current interest.</w:t>
      </w:r>
    </w:p>
    <w:p w14:paraId="480489B4" w14:textId="2887A583" w:rsidR="00B70B0F" w:rsidRPr="00DA09BA" w:rsidRDefault="00B70B0F" w:rsidP="008906D8">
      <w:pPr>
        <w:spacing w:after="0" w:line="240" w:lineRule="auto"/>
        <w:jc w:val="both"/>
        <w:rPr>
          <w:rFonts w:ascii="Times New Roman" w:eastAsia="Times New Roman" w:hAnsi="Times New Roman" w:cs="Times New Roman"/>
          <w:color w:val="000000"/>
          <w:sz w:val="24"/>
          <w:szCs w:val="24"/>
          <w:shd w:val="clear" w:color="auto" w:fill="FFFFFF"/>
          <w:lang w:val="en-US" w:eastAsia="de-DE"/>
        </w:rPr>
      </w:pPr>
      <w:r>
        <w:rPr>
          <w:rFonts w:ascii="Times New Roman" w:eastAsia="Times New Roman" w:hAnsi="Times New Roman" w:cs="Times New Roman"/>
          <w:color w:val="000000"/>
          <w:sz w:val="24"/>
          <w:szCs w:val="24"/>
          <w:shd w:val="clear" w:color="auto" w:fill="FFFFFF"/>
          <w:lang w:val="en-US" w:eastAsia="de-DE"/>
        </w:rPr>
        <w:t xml:space="preserve">This section </w:t>
      </w:r>
      <w:r w:rsidR="00D8372A">
        <w:rPr>
          <w:rFonts w:ascii="Times New Roman" w:eastAsia="Times New Roman" w:hAnsi="Times New Roman" w:cs="Times New Roman"/>
          <w:color w:val="000000"/>
          <w:sz w:val="24"/>
          <w:szCs w:val="24"/>
          <w:shd w:val="clear" w:color="auto" w:fill="FFFFFF"/>
          <w:lang w:val="en-US" w:eastAsia="de-DE"/>
        </w:rPr>
        <w:t>has</w:t>
      </w:r>
      <w:r>
        <w:rPr>
          <w:rFonts w:ascii="Times New Roman" w:eastAsia="Times New Roman" w:hAnsi="Times New Roman" w:cs="Times New Roman"/>
          <w:color w:val="000000"/>
          <w:sz w:val="24"/>
          <w:szCs w:val="24"/>
          <w:shd w:val="clear" w:color="auto" w:fill="FFFFFF"/>
          <w:lang w:val="en-US" w:eastAsia="de-DE"/>
        </w:rPr>
        <w:t xml:space="preserve"> show</w:t>
      </w:r>
      <w:r w:rsidR="00D8372A">
        <w:rPr>
          <w:rFonts w:ascii="Times New Roman" w:eastAsia="Times New Roman" w:hAnsi="Times New Roman" w:cs="Times New Roman"/>
          <w:color w:val="000000"/>
          <w:sz w:val="24"/>
          <w:szCs w:val="24"/>
          <w:shd w:val="clear" w:color="auto" w:fill="FFFFFF"/>
          <w:lang w:val="en-US" w:eastAsia="de-DE"/>
        </w:rPr>
        <w:t>n that not only conceptually and potentially, but also normatively and in EU practice, in consumer</w:t>
      </w:r>
      <w:r>
        <w:rPr>
          <w:rFonts w:ascii="Times New Roman" w:eastAsia="Times New Roman" w:hAnsi="Times New Roman" w:cs="Times New Roman"/>
          <w:color w:val="000000"/>
          <w:sz w:val="24"/>
          <w:szCs w:val="24"/>
          <w:shd w:val="clear" w:color="auto" w:fill="FFFFFF"/>
          <w:lang w:val="en-US" w:eastAsia="de-DE"/>
        </w:rPr>
        <w:t xml:space="preserve"> </w:t>
      </w:r>
      <w:r w:rsidR="00D8372A">
        <w:rPr>
          <w:rFonts w:ascii="Times New Roman" w:eastAsia="Times New Roman" w:hAnsi="Times New Roman" w:cs="Times New Roman"/>
          <w:color w:val="000000"/>
          <w:sz w:val="24"/>
          <w:szCs w:val="24"/>
          <w:shd w:val="clear" w:color="auto" w:fill="FFFFFF"/>
          <w:lang w:val="en-US" w:eastAsia="de-DE"/>
        </w:rPr>
        <w:t xml:space="preserve">credit policy the concern goes beyond the macro dimension and the focus is also on the detriment to consumers. In particular, it was seen that the EU notion of credit worthiness assessment clearly goes beyond the interest for the protection of the credit –and, ultimately, of financial stability and growth – to consider the detrimental consequences of default for consumers. Here, the two points of concern remain the implicit </w:t>
      </w:r>
      <w:r w:rsidR="007E7E9A">
        <w:rPr>
          <w:rFonts w:ascii="Times New Roman" w:eastAsia="Times New Roman" w:hAnsi="Times New Roman" w:cs="Times New Roman"/>
          <w:color w:val="000000"/>
          <w:sz w:val="24"/>
          <w:szCs w:val="24"/>
          <w:shd w:val="clear" w:color="auto" w:fill="FFFFFF"/>
          <w:lang w:val="en-US" w:eastAsia="de-DE"/>
        </w:rPr>
        <w:t>trade-off between</w:t>
      </w:r>
      <w:r w:rsidR="00D8372A">
        <w:rPr>
          <w:rFonts w:ascii="Times New Roman" w:eastAsia="Times New Roman" w:hAnsi="Times New Roman" w:cs="Times New Roman"/>
          <w:color w:val="000000"/>
          <w:sz w:val="24"/>
          <w:szCs w:val="24"/>
          <w:shd w:val="clear" w:color="auto" w:fill="FFFFFF"/>
          <w:lang w:val="en-US" w:eastAsia="de-DE"/>
        </w:rPr>
        <w:t xml:space="preserve"> </w:t>
      </w:r>
      <w:r w:rsidR="007E7E9A">
        <w:rPr>
          <w:rFonts w:ascii="Times New Roman" w:eastAsia="Times New Roman" w:hAnsi="Times New Roman" w:cs="Times New Roman"/>
          <w:color w:val="000000"/>
          <w:sz w:val="24"/>
          <w:szCs w:val="24"/>
          <w:shd w:val="clear" w:color="auto" w:fill="FFFFFF"/>
          <w:lang w:val="en-US" w:eastAsia="de-DE"/>
        </w:rPr>
        <w:t>the costs and benefits for consumers of being</w:t>
      </w:r>
      <w:r w:rsidR="00D8372A">
        <w:rPr>
          <w:rFonts w:ascii="Times New Roman" w:eastAsia="Times New Roman" w:hAnsi="Times New Roman" w:cs="Times New Roman"/>
          <w:color w:val="000000"/>
          <w:sz w:val="24"/>
          <w:szCs w:val="24"/>
          <w:shd w:val="clear" w:color="auto" w:fill="FFFFFF"/>
          <w:lang w:val="en-US" w:eastAsia="de-DE"/>
        </w:rPr>
        <w:t xml:space="preserve"> excluded from the market </w:t>
      </w:r>
      <w:r w:rsidR="007E7E9A">
        <w:rPr>
          <w:rFonts w:ascii="Times New Roman" w:eastAsia="Times New Roman" w:hAnsi="Times New Roman" w:cs="Times New Roman"/>
          <w:color w:val="000000"/>
          <w:sz w:val="24"/>
          <w:szCs w:val="24"/>
          <w:shd w:val="clear" w:color="auto" w:fill="FFFFFF"/>
          <w:lang w:val="en-US" w:eastAsia="de-DE"/>
        </w:rPr>
        <w:t xml:space="preserve">in order to avoid </w:t>
      </w:r>
      <w:r w:rsidR="00D8372A">
        <w:rPr>
          <w:rFonts w:ascii="Times New Roman" w:eastAsia="Times New Roman" w:hAnsi="Times New Roman" w:cs="Times New Roman"/>
          <w:color w:val="000000"/>
          <w:sz w:val="24"/>
          <w:szCs w:val="24"/>
          <w:shd w:val="clear" w:color="auto" w:fill="FFFFFF"/>
          <w:lang w:val="en-US" w:eastAsia="de-DE"/>
        </w:rPr>
        <w:t>default and the extent to which EU law is doing enough to contrast over-indebtedness. Finally, we have seen how the principal multi agent framework introduced in section III. proves useful in reconstructing the structure of the consumer credit regulated market. Not only</w:t>
      </w:r>
      <w:r w:rsidR="007E7E9A">
        <w:rPr>
          <w:rFonts w:ascii="Times New Roman" w:eastAsia="Times New Roman" w:hAnsi="Times New Roman" w:cs="Times New Roman"/>
          <w:color w:val="000000"/>
          <w:sz w:val="24"/>
          <w:szCs w:val="24"/>
          <w:shd w:val="clear" w:color="auto" w:fill="FFFFFF"/>
          <w:lang w:val="en-US" w:eastAsia="de-DE"/>
        </w:rPr>
        <w:t xml:space="preserve"> </w:t>
      </w:r>
      <w:r w:rsidR="00D8372A">
        <w:rPr>
          <w:rFonts w:ascii="Times New Roman" w:eastAsia="Times New Roman" w:hAnsi="Times New Roman" w:cs="Times New Roman"/>
          <w:color w:val="000000"/>
          <w:sz w:val="24"/>
          <w:szCs w:val="24"/>
          <w:shd w:val="clear" w:color="auto" w:fill="FFFFFF"/>
          <w:lang w:val="en-US" w:eastAsia="de-DE"/>
        </w:rPr>
        <w:t>the framework explains much with less, but it also helps to identify regulatory choices that do not appear particularly convincing.</w:t>
      </w:r>
    </w:p>
    <w:p w14:paraId="179F08B9" w14:textId="61B2B309" w:rsidR="00054D2A" w:rsidRPr="00497A81" w:rsidRDefault="00054D2A"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3AEE275D" w14:textId="77777777" w:rsidR="001220B9" w:rsidRPr="00497A81" w:rsidRDefault="001220B9" w:rsidP="0038441A">
      <w:pPr>
        <w:spacing w:after="0"/>
        <w:rPr>
          <w:rFonts w:ascii="Times New Roman" w:hAnsi="Times New Roman" w:cs="Times New Roman"/>
          <w:sz w:val="24"/>
          <w:szCs w:val="24"/>
          <w:lang w:val="en-GB"/>
        </w:rPr>
      </w:pPr>
    </w:p>
    <w:p w14:paraId="5D68E32A" w14:textId="1FAA61DE" w:rsidR="001220B9" w:rsidRPr="00497A81" w:rsidRDefault="001220B9" w:rsidP="0038441A">
      <w:pPr>
        <w:spacing w:after="0" w:line="240" w:lineRule="auto"/>
        <w:rPr>
          <w:rFonts w:ascii="Times New Roman" w:eastAsia="Times New Roman" w:hAnsi="Times New Roman" w:cs="Times New Roman"/>
          <w:b/>
          <w:color w:val="000000"/>
          <w:sz w:val="24"/>
          <w:szCs w:val="24"/>
          <w:shd w:val="clear" w:color="auto" w:fill="FFFFFF"/>
          <w:lang w:val="en-GB" w:eastAsia="de-DE"/>
        </w:rPr>
      </w:pPr>
      <w:r w:rsidRPr="00497A81">
        <w:rPr>
          <w:rFonts w:ascii="Times New Roman" w:eastAsia="Times New Roman" w:hAnsi="Times New Roman" w:cs="Times New Roman"/>
          <w:b/>
          <w:color w:val="000000"/>
          <w:sz w:val="24"/>
          <w:szCs w:val="24"/>
          <w:shd w:val="clear" w:color="auto" w:fill="FFFFFF"/>
          <w:lang w:val="en-GB" w:eastAsia="de-DE"/>
        </w:rPr>
        <w:t>VI</w:t>
      </w:r>
      <w:r w:rsidR="008906D8">
        <w:rPr>
          <w:rFonts w:ascii="Times New Roman" w:eastAsia="Times New Roman" w:hAnsi="Times New Roman" w:cs="Times New Roman"/>
          <w:b/>
          <w:color w:val="000000"/>
          <w:sz w:val="24"/>
          <w:szCs w:val="24"/>
          <w:shd w:val="clear" w:color="auto" w:fill="FFFFFF"/>
          <w:lang w:val="en-GB" w:eastAsia="de-DE"/>
        </w:rPr>
        <w:t>I</w:t>
      </w:r>
      <w:r w:rsidRPr="00497A81">
        <w:rPr>
          <w:rFonts w:ascii="Times New Roman" w:eastAsia="Times New Roman" w:hAnsi="Times New Roman" w:cs="Times New Roman"/>
          <w:b/>
          <w:color w:val="000000"/>
          <w:sz w:val="24"/>
          <w:szCs w:val="24"/>
          <w:shd w:val="clear" w:color="auto" w:fill="FFFFFF"/>
          <w:lang w:val="en-GB" w:eastAsia="de-DE"/>
        </w:rPr>
        <w:t>. Conclusions</w:t>
      </w:r>
    </w:p>
    <w:p w14:paraId="1BDFADEF" w14:textId="77777777" w:rsidR="001220B9" w:rsidRPr="00497A81" w:rsidRDefault="001220B9" w:rsidP="0038441A">
      <w:pPr>
        <w:spacing w:after="0" w:line="240" w:lineRule="auto"/>
        <w:rPr>
          <w:rFonts w:ascii="Times New Roman" w:eastAsia="Times New Roman" w:hAnsi="Times New Roman" w:cs="Times New Roman"/>
          <w:color w:val="000000"/>
          <w:sz w:val="24"/>
          <w:szCs w:val="24"/>
          <w:shd w:val="clear" w:color="auto" w:fill="FFFFFF"/>
          <w:lang w:val="en-GB" w:eastAsia="de-DE"/>
        </w:rPr>
      </w:pPr>
    </w:p>
    <w:p w14:paraId="25C5C0A3" w14:textId="219B04F4" w:rsidR="00B30153" w:rsidRDefault="009B351F" w:rsidP="001547E0">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In this article we have offered several arguments aimed at </w:t>
      </w:r>
      <w:r w:rsidR="00274F5A">
        <w:rPr>
          <w:rFonts w:ascii="Times New Roman" w:eastAsia="Times New Roman" w:hAnsi="Times New Roman" w:cs="Times New Roman"/>
          <w:color w:val="000000"/>
          <w:sz w:val="24"/>
          <w:szCs w:val="24"/>
          <w:shd w:val="clear" w:color="auto" w:fill="FFFFFF"/>
          <w:lang w:val="en-GB" w:eastAsia="de-DE"/>
        </w:rPr>
        <w:t>proposing</w:t>
      </w:r>
      <w:r>
        <w:rPr>
          <w:rFonts w:ascii="Times New Roman" w:eastAsia="Times New Roman" w:hAnsi="Times New Roman" w:cs="Times New Roman"/>
          <w:color w:val="000000"/>
          <w:sz w:val="24"/>
          <w:szCs w:val="24"/>
          <w:shd w:val="clear" w:color="auto" w:fill="FFFFFF"/>
          <w:lang w:val="en-GB" w:eastAsia="de-DE"/>
        </w:rPr>
        <w:t xml:space="preserve"> a conception of the </w:t>
      </w:r>
      <w:r w:rsidRPr="001547E0">
        <w:rPr>
          <w:rFonts w:ascii="Times New Roman" w:eastAsia="Times New Roman" w:hAnsi="Times New Roman" w:cs="Times New Roman"/>
          <w:color w:val="000000"/>
          <w:sz w:val="24"/>
          <w:szCs w:val="24"/>
          <w:shd w:val="clear" w:color="auto" w:fill="FFFFFF"/>
          <w:lang w:val="en-US" w:eastAsia="de-DE"/>
        </w:rPr>
        <w:t>microeconomic</w:t>
      </w:r>
      <w:r>
        <w:rPr>
          <w:rFonts w:ascii="Times New Roman" w:eastAsia="Times New Roman" w:hAnsi="Times New Roman" w:cs="Times New Roman"/>
          <w:color w:val="000000"/>
          <w:sz w:val="24"/>
          <w:szCs w:val="24"/>
          <w:shd w:val="clear" w:color="auto" w:fill="FFFFFF"/>
          <w:lang w:val="en-GB" w:eastAsia="de-DE"/>
        </w:rPr>
        <w:t xml:space="preserve"> market rationale (allocative efficiency) that is not concerned with the maximization of overall value, but with the maximization of consumer aggregate welfare through mutual Pareto optimal exchange</w:t>
      </w:r>
      <w:r w:rsidR="00274F5A">
        <w:rPr>
          <w:rFonts w:ascii="Times New Roman" w:eastAsia="Times New Roman" w:hAnsi="Times New Roman" w:cs="Times New Roman"/>
          <w:color w:val="000000"/>
          <w:sz w:val="24"/>
          <w:szCs w:val="24"/>
          <w:shd w:val="clear" w:color="auto" w:fill="FFFFFF"/>
          <w:lang w:val="en-GB" w:eastAsia="de-DE"/>
        </w:rPr>
        <w:t>s</w:t>
      </w:r>
      <w:r>
        <w:rPr>
          <w:rFonts w:ascii="Times New Roman" w:eastAsia="Times New Roman" w:hAnsi="Times New Roman" w:cs="Times New Roman"/>
          <w:color w:val="000000"/>
          <w:sz w:val="24"/>
          <w:szCs w:val="24"/>
          <w:shd w:val="clear" w:color="auto" w:fill="FFFFFF"/>
          <w:lang w:val="en-GB" w:eastAsia="de-DE"/>
        </w:rPr>
        <w:t>.</w:t>
      </w:r>
      <w:r w:rsidR="006F5314">
        <w:rPr>
          <w:rFonts w:ascii="Times New Roman" w:eastAsia="Times New Roman" w:hAnsi="Times New Roman" w:cs="Times New Roman"/>
          <w:color w:val="000000"/>
          <w:sz w:val="24"/>
          <w:szCs w:val="24"/>
          <w:shd w:val="clear" w:color="auto" w:fill="FFFFFF"/>
          <w:lang w:val="en-GB" w:eastAsia="de-DE"/>
        </w:rPr>
        <w:t xml:space="preserve"> Thus, regulated market behaviour can be conceived of as a principal multi agent interaction where allocative efficiency is the principal.</w:t>
      </w:r>
      <w:r>
        <w:rPr>
          <w:rFonts w:ascii="Times New Roman" w:eastAsia="Times New Roman" w:hAnsi="Times New Roman" w:cs="Times New Roman"/>
          <w:color w:val="000000"/>
          <w:sz w:val="24"/>
          <w:szCs w:val="24"/>
          <w:shd w:val="clear" w:color="auto" w:fill="FFFFFF"/>
          <w:lang w:val="en-GB" w:eastAsia="de-DE"/>
        </w:rPr>
        <w:t xml:space="preserve"> This conception is not the result of our own intuition, but it has deep roots in economic literature. The disagreement between the mainstream rational (overall value) and the notion of allocative efficiency we proposed is therefore a disagreement internal to economic theory. Moreover, as our notion of allocative efficiency was embraced, among others, by Adam Smith, it can hardly be considered a disagreement between mainstream thought and heterodox theory. Arguably, </w:t>
      </w:r>
      <w:r>
        <w:rPr>
          <w:rFonts w:ascii="Times New Roman" w:eastAsia="Times New Roman" w:hAnsi="Times New Roman" w:cs="Times New Roman"/>
          <w:color w:val="000000"/>
          <w:sz w:val="24"/>
          <w:szCs w:val="24"/>
          <w:shd w:val="clear" w:color="auto" w:fill="FFFFFF"/>
          <w:lang w:val="en-GB" w:eastAsia="de-DE"/>
        </w:rPr>
        <w:lastRenderedPageBreak/>
        <w:t xml:space="preserve">the notion of allocative efficiency defended here can be best understood as a sort of ‘hidden mainstream’ microeconomic market rationale. </w:t>
      </w:r>
      <w:r w:rsidR="00B30153">
        <w:rPr>
          <w:rFonts w:ascii="Times New Roman" w:eastAsia="Times New Roman" w:hAnsi="Times New Roman" w:cs="Times New Roman"/>
          <w:color w:val="000000"/>
          <w:sz w:val="24"/>
          <w:szCs w:val="24"/>
          <w:shd w:val="clear" w:color="auto" w:fill="FFFFFF"/>
          <w:lang w:val="en-GB" w:eastAsia="de-DE"/>
        </w:rPr>
        <w:t>As also discussed, a just society cannot be reduced to a general equilibrium that is allocative efficient. Not only there is a macroeconomic market rationale (growth) to consider, but also other societal values</w:t>
      </w:r>
      <w:r w:rsidR="00274F5A">
        <w:rPr>
          <w:rFonts w:ascii="Times New Roman" w:eastAsia="Times New Roman" w:hAnsi="Times New Roman" w:cs="Times New Roman"/>
          <w:color w:val="000000"/>
          <w:sz w:val="24"/>
          <w:szCs w:val="24"/>
          <w:shd w:val="clear" w:color="auto" w:fill="FFFFFF"/>
          <w:lang w:val="en-GB" w:eastAsia="de-DE"/>
        </w:rPr>
        <w:t xml:space="preserve"> have to be considered</w:t>
      </w:r>
      <w:r w:rsidR="00B30153">
        <w:rPr>
          <w:rFonts w:ascii="Times New Roman" w:eastAsia="Times New Roman" w:hAnsi="Times New Roman" w:cs="Times New Roman"/>
          <w:color w:val="000000"/>
          <w:sz w:val="24"/>
          <w:szCs w:val="24"/>
          <w:shd w:val="clear" w:color="auto" w:fill="FFFFFF"/>
          <w:lang w:val="en-GB" w:eastAsia="de-DE"/>
        </w:rPr>
        <w:t>. Indeed, much more work is required to offer such a framework.</w:t>
      </w:r>
      <w:r w:rsidR="006F5314">
        <w:rPr>
          <w:rFonts w:ascii="Times New Roman" w:eastAsia="Times New Roman" w:hAnsi="Times New Roman" w:cs="Times New Roman"/>
          <w:color w:val="000000"/>
          <w:sz w:val="24"/>
          <w:szCs w:val="24"/>
          <w:shd w:val="clear" w:color="auto" w:fill="FFFFFF"/>
          <w:lang w:val="en-GB" w:eastAsia="de-DE"/>
        </w:rPr>
        <w:t xml:space="preserve"> However, this article has shown that the approach proposed here offers a promising explanatory framework of EU market behaviour regulation.</w:t>
      </w:r>
      <w:r w:rsidR="00B30153">
        <w:rPr>
          <w:rFonts w:ascii="Times New Roman" w:eastAsia="Times New Roman" w:hAnsi="Times New Roman" w:cs="Times New Roman"/>
          <w:color w:val="000000"/>
          <w:sz w:val="24"/>
          <w:szCs w:val="24"/>
          <w:shd w:val="clear" w:color="auto" w:fill="FFFFFF"/>
          <w:lang w:val="en-GB" w:eastAsia="de-DE"/>
        </w:rPr>
        <w:t xml:space="preserve"> In these concluding remarks we point out some of the features of this broader project.</w:t>
      </w:r>
    </w:p>
    <w:p w14:paraId="5424E261" w14:textId="685E818F" w:rsidR="00B30153" w:rsidRDefault="00B30153" w:rsidP="001547E0">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First, we understand this project as an example of what Calabresi has </w:t>
      </w:r>
      <w:r w:rsidR="00A46104">
        <w:rPr>
          <w:rFonts w:ascii="Times New Roman" w:eastAsia="Times New Roman" w:hAnsi="Times New Roman" w:cs="Times New Roman"/>
          <w:color w:val="000000"/>
          <w:sz w:val="24"/>
          <w:szCs w:val="24"/>
          <w:shd w:val="clear" w:color="auto" w:fill="FFFFFF"/>
          <w:lang w:val="en-GB" w:eastAsia="de-DE"/>
        </w:rPr>
        <w:t>recently</w:t>
      </w:r>
      <w:r>
        <w:rPr>
          <w:rFonts w:ascii="Times New Roman" w:eastAsia="Times New Roman" w:hAnsi="Times New Roman" w:cs="Times New Roman"/>
          <w:color w:val="000000"/>
          <w:sz w:val="24"/>
          <w:szCs w:val="24"/>
          <w:shd w:val="clear" w:color="auto" w:fill="FFFFFF"/>
          <w:lang w:val="en-GB" w:eastAsia="de-DE"/>
        </w:rPr>
        <w:t xml:space="preserve"> called Law and Economics and opposed to Economic Analysis of Law.</w:t>
      </w:r>
      <w:r w:rsidR="00A46104">
        <w:rPr>
          <w:rStyle w:val="Rimandonotaapidipagina"/>
          <w:rFonts w:ascii="Times New Roman" w:eastAsia="Times New Roman" w:hAnsi="Times New Roman" w:cs="Times New Roman"/>
          <w:color w:val="000000"/>
          <w:sz w:val="24"/>
          <w:szCs w:val="24"/>
          <w:shd w:val="clear" w:color="auto" w:fill="FFFFFF"/>
          <w:lang w:val="en-GB" w:eastAsia="de-DE"/>
        </w:rPr>
        <w:footnoteReference w:id="150"/>
      </w:r>
      <w:r>
        <w:rPr>
          <w:rFonts w:ascii="Times New Roman" w:eastAsia="Times New Roman" w:hAnsi="Times New Roman" w:cs="Times New Roman"/>
          <w:color w:val="000000"/>
          <w:sz w:val="24"/>
          <w:szCs w:val="24"/>
          <w:shd w:val="clear" w:color="auto" w:fill="FFFFFF"/>
          <w:lang w:val="en-GB" w:eastAsia="de-DE"/>
        </w:rPr>
        <w:t xml:space="preserve"> The key difference between the two approaches, which is also the most relevant for current purposes, related to the way in which </w:t>
      </w:r>
      <w:r w:rsidRPr="001547E0">
        <w:rPr>
          <w:rFonts w:ascii="Times New Roman" w:eastAsia="Times New Roman" w:hAnsi="Times New Roman" w:cs="Times New Roman"/>
          <w:color w:val="000000"/>
          <w:sz w:val="24"/>
          <w:szCs w:val="24"/>
          <w:shd w:val="clear" w:color="auto" w:fill="FFFFFF"/>
          <w:lang w:val="en-US" w:eastAsia="de-DE"/>
        </w:rPr>
        <w:t>disagreements</w:t>
      </w:r>
      <w:r>
        <w:rPr>
          <w:rFonts w:ascii="Times New Roman" w:eastAsia="Times New Roman" w:hAnsi="Times New Roman" w:cs="Times New Roman"/>
          <w:color w:val="000000"/>
          <w:sz w:val="24"/>
          <w:szCs w:val="24"/>
          <w:shd w:val="clear" w:color="auto" w:fill="FFFFFF"/>
          <w:lang w:val="en-GB" w:eastAsia="de-DE"/>
        </w:rPr>
        <w:t xml:space="preserve"> between the chosen economic theory and the studied legal system are solved. For Economic Analysis of Law, the disagreement is solved invariably in favour of the economic theory. </w:t>
      </w:r>
      <w:r w:rsidR="005923E6">
        <w:rPr>
          <w:rFonts w:ascii="Times New Roman" w:eastAsia="Times New Roman" w:hAnsi="Times New Roman" w:cs="Times New Roman"/>
          <w:color w:val="000000"/>
          <w:sz w:val="24"/>
          <w:szCs w:val="24"/>
          <w:shd w:val="clear" w:color="auto" w:fill="FFFFFF"/>
          <w:lang w:val="en-GB" w:eastAsia="de-DE"/>
        </w:rPr>
        <w:t>While m</w:t>
      </w:r>
      <w:r>
        <w:rPr>
          <w:rFonts w:ascii="Times New Roman" w:eastAsia="Times New Roman" w:hAnsi="Times New Roman" w:cs="Times New Roman"/>
          <w:color w:val="000000"/>
          <w:sz w:val="24"/>
          <w:szCs w:val="24"/>
          <w:shd w:val="clear" w:color="auto" w:fill="FFFFFF"/>
          <w:lang w:val="en-GB" w:eastAsia="de-DE"/>
        </w:rPr>
        <w:t>ainstream Economic Analysis of Law is subject to several critiques</w:t>
      </w:r>
      <w:r w:rsidR="005923E6">
        <w:rPr>
          <w:rFonts w:ascii="Times New Roman" w:eastAsia="Times New Roman" w:hAnsi="Times New Roman" w:cs="Times New Roman"/>
          <w:color w:val="000000"/>
          <w:sz w:val="24"/>
          <w:szCs w:val="24"/>
          <w:shd w:val="clear" w:color="auto" w:fill="FFFFFF"/>
          <w:lang w:val="en-GB" w:eastAsia="de-DE"/>
        </w:rPr>
        <w:t>,</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151"/>
      </w:r>
      <w:r>
        <w:rPr>
          <w:rFonts w:ascii="Times New Roman" w:eastAsia="Times New Roman" w:hAnsi="Times New Roman" w:cs="Times New Roman"/>
          <w:color w:val="000000"/>
          <w:sz w:val="24"/>
          <w:szCs w:val="24"/>
          <w:shd w:val="clear" w:color="auto" w:fill="FFFFFF"/>
          <w:lang w:val="en-GB" w:eastAsia="de-DE"/>
        </w:rPr>
        <w:t xml:space="preserve"> </w:t>
      </w:r>
      <w:r w:rsidR="005923E6">
        <w:rPr>
          <w:rFonts w:ascii="Times New Roman" w:eastAsia="Times New Roman" w:hAnsi="Times New Roman" w:cs="Times New Roman"/>
          <w:color w:val="000000"/>
          <w:sz w:val="24"/>
          <w:szCs w:val="24"/>
          <w:shd w:val="clear" w:color="auto" w:fill="FFFFFF"/>
          <w:lang w:val="en-GB" w:eastAsia="de-DE"/>
        </w:rPr>
        <w:t>f</w:t>
      </w:r>
      <w:r>
        <w:rPr>
          <w:rFonts w:ascii="Times New Roman" w:eastAsia="Times New Roman" w:hAnsi="Times New Roman" w:cs="Times New Roman"/>
          <w:color w:val="000000"/>
          <w:sz w:val="24"/>
          <w:szCs w:val="24"/>
          <w:shd w:val="clear" w:color="auto" w:fill="FFFFFF"/>
          <w:lang w:val="en-GB" w:eastAsia="de-DE"/>
        </w:rPr>
        <w:t xml:space="preserve">or current purposes, the problem is </w:t>
      </w:r>
      <w:r w:rsidR="005923E6">
        <w:rPr>
          <w:rFonts w:ascii="Times New Roman" w:eastAsia="Times New Roman" w:hAnsi="Times New Roman" w:cs="Times New Roman"/>
          <w:color w:val="000000"/>
          <w:sz w:val="24"/>
          <w:szCs w:val="24"/>
          <w:shd w:val="clear" w:color="auto" w:fill="FFFFFF"/>
          <w:lang w:val="en-GB" w:eastAsia="de-DE"/>
        </w:rPr>
        <w:t>general: Economic Analysis of Law</w:t>
      </w:r>
      <w:r>
        <w:rPr>
          <w:rFonts w:ascii="Times New Roman" w:eastAsia="Times New Roman" w:hAnsi="Times New Roman" w:cs="Times New Roman"/>
          <w:color w:val="000000"/>
          <w:sz w:val="24"/>
          <w:szCs w:val="24"/>
          <w:shd w:val="clear" w:color="auto" w:fill="FFFFFF"/>
          <w:lang w:val="en-GB" w:eastAsia="de-DE"/>
        </w:rPr>
        <w:t xml:space="preserve"> does not seem to offer tools for solving disagreements</w:t>
      </w:r>
      <w:r w:rsidR="005923E6">
        <w:rPr>
          <w:rFonts w:ascii="Times New Roman" w:eastAsia="Times New Roman" w:hAnsi="Times New Roman" w:cs="Times New Roman"/>
          <w:color w:val="000000"/>
          <w:sz w:val="24"/>
          <w:szCs w:val="24"/>
          <w:shd w:val="clear" w:color="auto" w:fill="FFFFFF"/>
          <w:lang w:val="en-GB" w:eastAsia="de-DE"/>
        </w:rPr>
        <w:t xml:space="preserve"> about the ends</w:t>
      </w:r>
      <w:r>
        <w:rPr>
          <w:rFonts w:ascii="Times New Roman" w:eastAsia="Times New Roman" w:hAnsi="Times New Roman" w:cs="Times New Roman"/>
          <w:color w:val="000000"/>
          <w:sz w:val="24"/>
          <w:szCs w:val="24"/>
          <w:shd w:val="clear" w:color="auto" w:fill="FFFFFF"/>
          <w:lang w:val="en-GB" w:eastAsia="de-DE"/>
        </w:rPr>
        <w:t xml:space="preserve"> between economic theories. Indeed, </w:t>
      </w:r>
      <w:r w:rsidR="00A46104">
        <w:rPr>
          <w:rFonts w:ascii="Times New Roman" w:eastAsia="Times New Roman" w:hAnsi="Times New Roman" w:cs="Times New Roman"/>
          <w:color w:val="000000"/>
          <w:sz w:val="24"/>
          <w:szCs w:val="24"/>
          <w:shd w:val="clear" w:color="auto" w:fill="FFFFFF"/>
          <w:lang w:val="en-GB" w:eastAsia="de-DE"/>
        </w:rPr>
        <w:t>the behavioural turn in mainstream economics of law</w:t>
      </w:r>
      <w:r>
        <w:rPr>
          <w:rFonts w:ascii="Times New Roman" w:eastAsia="Times New Roman" w:hAnsi="Times New Roman" w:cs="Times New Roman"/>
          <w:color w:val="000000"/>
          <w:sz w:val="24"/>
          <w:szCs w:val="24"/>
          <w:shd w:val="clear" w:color="auto" w:fill="FFFFFF"/>
          <w:lang w:val="en-GB" w:eastAsia="de-DE"/>
        </w:rPr>
        <w:t xml:space="preserve"> </w:t>
      </w:r>
      <w:r w:rsidR="00A46104">
        <w:rPr>
          <w:rFonts w:ascii="Times New Roman" w:eastAsia="Times New Roman" w:hAnsi="Times New Roman" w:cs="Times New Roman"/>
          <w:color w:val="000000"/>
          <w:sz w:val="24"/>
          <w:szCs w:val="24"/>
          <w:shd w:val="clear" w:color="auto" w:fill="FFFFFF"/>
          <w:lang w:val="en-GB" w:eastAsia="de-DE"/>
        </w:rPr>
        <w:t xml:space="preserve">has shown that the discipline can handle </w:t>
      </w:r>
      <w:r w:rsidR="00274F5A">
        <w:rPr>
          <w:rFonts w:ascii="Times New Roman" w:eastAsia="Times New Roman" w:hAnsi="Times New Roman" w:cs="Times New Roman"/>
          <w:color w:val="000000"/>
          <w:sz w:val="24"/>
          <w:szCs w:val="24"/>
          <w:shd w:val="clear" w:color="auto" w:fill="FFFFFF"/>
          <w:lang w:val="en-GB" w:eastAsia="de-DE"/>
        </w:rPr>
        <w:t xml:space="preserve">serious </w:t>
      </w:r>
      <w:r w:rsidR="00A46104">
        <w:rPr>
          <w:rFonts w:ascii="Times New Roman" w:eastAsia="Times New Roman" w:hAnsi="Times New Roman" w:cs="Times New Roman"/>
          <w:color w:val="000000"/>
          <w:sz w:val="24"/>
          <w:szCs w:val="24"/>
          <w:shd w:val="clear" w:color="auto" w:fill="FFFFFF"/>
          <w:lang w:val="en-GB" w:eastAsia="de-DE"/>
        </w:rPr>
        <w:t>descriptive disagreements. It remains unclear how it can solve the disagreement about the microeconomic market rationale emphasised in this article. A Law and Economics approach, to the contrary, is well-suited for this task. Its competitive advantage is that the normative judgments embodied in the law are taken seriously</w:t>
      </w:r>
      <w:r w:rsidR="005923E6">
        <w:rPr>
          <w:rFonts w:ascii="Times New Roman" w:eastAsia="Times New Roman" w:hAnsi="Times New Roman" w:cs="Times New Roman"/>
          <w:color w:val="000000"/>
          <w:sz w:val="24"/>
          <w:szCs w:val="24"/>
          <w:shd w:val="clear" w:color="auto" w:fill="FFFFFF"/>
          <w:lang w:val="en-GB" w:eastAsia="de-DE"/>
        </w:rPr>
        <w:t xml:space="preserve">. </w:t>
      </w:r>
      <w:r w:rsidR="005923E6" w:rsidRPr="005923E6">
        <w:rPr>
          <w:rFonts w:ascii="Times New Roman" w:eastAsia="Times New Roman" w:hAnsi="Times New Roman" w:cs="Times New Roman"/>
          <w:color w:val="000000"/>
          <w:sz w:val="24"/>
          <w:szCs w:val="24"/>
          <w:shd w:val="clear" w:color="auto" w:fill="FFFFFF"/>
          <w:lang w:val="en-GB" w:eastAsia="de-DE"/>
        </w:rPr>
        <w:t>T</w:t>
      </w:r>
      <w:r w:rsidR="005923E6" w:rsidRPr="001547E0">
        <w:rPr>
          <w:rFonts w:ascii="Times New Roman" w:eastAsia="Times New Roman" w:hAnsi="Times New Roman" w:cs="Times New Roman"/>
          <w:color w:val="000000"/>
          <w:sz w:val="24"/>
          <w:szCs w:val="24"/>
          <w:shd w:val="clear" w:color="auto" w:fill="FFFFFF"/>
          <w:lang w:val="en-GB" w:eastAsia="de-DE"/>
        </w:rPr>
        <w:t xml:space="preserve">he normative arguments of </w:t>
      </w:r>
      <w:r w:rsidR="005A0AA4">
        <w:rPr>
          <w:rFonts w:ascii="Times New Roman" w:eastAsia="Times New Roman" w:hAnsi="Times New Roman" w:cs="Times New Roman"/>
          <w:color w:val="000000"/>
          <w:sz w:val="24"/>
          <w:szCs w:val="24"/>
          <w:shd w:val="clear" w:color="auto" w:fill="FFFFFF"/>
          <w:lang w:val="en-GB" w:eastAsia="de-DE"/>
        </w:rPr>
        <w:t xml:space="preserve">both </w:t>
      </w:r>
      <w:r w:rsidR="005923E6">
        <w:rPr>
          <w:rFonts w:ascii="Times New Roman" w:eastAsia="Times New Roman" w:hAnsi="Times New Roman" w:cs="Times New Roman"/>
          <w:color w:val="000000"/>
          <w:sz w:val="24"/>
          <w:szCs w:val="24"/>
          <w:shd w:val="clear" w:color="auto" w:fill="FFFFFF"/>
          <w:lang w:val="en-GB" w:eastAsia="de-DE"/>
        </w:rPr>
        <w:t xml:space="preserve">law </w:t>
      </w:r>
      <w:r w:rsidR="005923E6">
        <w:rPr>
          <w:rFonts w:ascii="Times New Roman" w:eastAsia="Times New Roman" w:hAnsi="Times New Roman" w:cs="Times New Roman"/>
          <w:i/>
          <w:color w:val="000000"/>
          <w:sz w:val="24"/>
          <w:szCs w:val="24"/>
          <w:shd w:val="clear" w:color="auto" w:fill="FFFFFF"/>
          <w:lang w:val="en-GB" w:eastAsia="de-DE"/>
        </w:rPr>
        <w:t xml:space="preserve">and </w:t>
      </w:r>
      <w:r w:rsidR="005923E6">
        <w:rPr>
          <w:rFonts w:ascii="Times New Roman" w:eastAsia="Times New Roman" w:hAnsi="Times New Roman" w:cs="Times New Roman"/>
          <w:color w:val="000000"/>
          <w:sz w:val="24"/>
          <w:szCs w:val="24"/>
          <w:shd w:val="clear" w:color="auto" w:fill="FFFFFF"/>
          <w:lang w:val="en-GB" w:eastAsia="de-DE"/>
        </w:rPr>
        <w:t>economics are taken</w:t>
      </w:r>
      <w:r w:rsidR="005923E6" w:rsidRPr="001547E0">
        <w:rPr>
          <w:rFonts w:ascii="Times New Roman" w:eastAsia="Times New Roman" w:hAnsi="Times New Roman" w:cs="Times New Roman"/>
          <w:color w:val="000000"/>
          <w:sz w:val="24"/>
          <w:szCs w:val="24"/>
          <w:shd w:val="clear" w:color="auto" w:fill="FFFFFF"/>
          <w:lang w:val="en-GB" w:eastAsia="de-DE"/>
        </w:rPr>
        <w:t xml:space="preserve"> seriously into account as mutually (hermeneutically) influencing each other</w:t>
      </w:r>
      <w:r w:rsidR="00A46104" w:rsidRPr="005923E6">
        <w:rPr>
          <w:rFonts w:ascii="Times New Roman" w:eastAsia="Times New Roman" w:hAnsi="Times New Roman" w:cs="Times New Roman"/>
          <w:color w:val="000000"/>
          <w:sz w:val="24"/>
          <w:szCs w:val="24"/>
          <w:shd w:val="clear" w:color="auto" w:fill="FFFFFF"/>
          <w:lang w:val="en-GB" w:eastAsia="de-DE"/>
        </w:rPr>
        <w:t>.</w:t>
      </w:r>
      <w:r w:rsidR="00A46104">
        <w:rPr>
          <w:rFonts w:ascii="Times New Roman" w:eastAsia="Times New Roman" w:hAnsi="Times New Roman" w:cs="Times New Roman"/>
          <w:color w:val="000000"/>
          <w:sz w:val="24"/>
          <w:szCs w:val="24"/>
          <w:shd w:val="clear" w:color="auto" w:fill="FFFFFF"/>
          <w:lang w:val="en-GB" w:eastAsia="de-DE"/>
        </w:rPr>
        <w:t xml:space="preserve"> Thus, if market behaviour regulation is better understood as a means to </w:t>
      </w:r>
      <w:r w:rsidR="00274F5A">
        <w:rPr>
          <w:rFonts w:ascii="Times New Roman" w:eastAsia="Times New Roman" w:hAnsi="Times New Roman" w:cs="Times New Roman"/>
          <w:color w:val="000000"/>
          <w:sz w:val="24"/>
          <w:szCs w:val="24"/>
          <w:shd w:val="clear" w:color="auto" w:fill="FFFFFF"/>
          <w:lang w:val="en-GB" w:eastAsia="de-DE"/>
        </w:rPr>
        <w:t xml:space="preserve">maximize </w:t>
      </w:r>
      <w:r w:rsidR="00A46104">
        <w:rPr>
          <w:rFonts w:ascii="Times New Roman" w:eastAsia="Times New Roman" w:hAnsi="Times New Roman" w:cs="Times New Roman"/>
          <w:color w:val="000000"/>
          <w:sz w:val="24"/>
          <w:szCs w:val="24"/>
          <w:shd w:val="clear" w:color="auto" w:fill="FFFFFF"/>
          <w:lang w:val="en-GB" w:eastAsia="de-DE"/>
        </w:rPr>
        <w:t xml:space="preserve">the aggregate consumer welfare under the Paretian constraint than to </w:t>
      </w:r>
      <w:r w:rsidR="00274F5A">
        <w:rPr>
          <w:rFonts w:ascii="Times New Roman" w:eastAsia="Times New Roman" w:hAnsi="Times New Roman" w:cs="Times New Roman"/>
          <w:color w:val="000000"/>
          <w:sz w:val="24"/>
          <w:szCs w:val="24"/>
          <w:shd w:val="clear" w:color="auto" w:fill="FFFFFF"/>
          <w:lang w:val="en-GB" w:eastAsia="de-DE"/>
        </w:rPr>
        <w:t xml:space="preserve">maximize </w:t>
      </w:r>
      <w:r w:rsidR="00A46104">
        <w:rPr>
          <w:rFonts w:ascii="Times New Roman" w:eastAsia="Times New Roman" w:hAnsi="Times New Roman" w:cs="Times New Roman"/>
          <w:color w:val="000000"/>
          <w:sz w:val="24"/>
          <w:szCs w:val="24"/>
          <w:shd w:val="clear" w:color="auto" w:fill="FFFFFF"/>
          <w:lang w:val="en-GB" w:eastAsia="de-DE"/>
        </w:rPr>
        <w:t>total value, then the lawyer-economist should start building his theory on the former concept rather than on the latter. If market behaviour regulation has two pillars – allocative efficiency and growth – then a theory considering both is even better</w:t>
      </w:r>
      <w:r w:rsidR="005A0AA4">
        <w:rPr>
          <w:rFonts w:ascii="Times New Roman" w:eastAsia="Times New Roman" w:hAnsi="Times New Roman" w:cs="Times New Roman"/>
          <w:color w:val="000000"/>
          <w:sz w:val="24"/>
          <w:szCs w:val="24"/>
          <w:shd w:val="clear" w:color="auto" w:fill="FFFFFF"/>
          <w:lang w:val="en-GB" w:eastAsia="de-DE"/>
        </w:rPr>
        <w:t>;</w:t>
      </w:r>
      <w:r w:rsidR="00A46104">
        <w:rPr>
          <w:rFonts w:ascii="Times New Roman" w:eastAsia="Times New Roman" w:hAnsi="Times New Roman" w:cs="Times New Roman"/>
          <w:color w:val="000000"/>
          <w:sz w:val="24"/>
          <w:szCs w:val="24"/>
          <w:shd w:val="clear" w:color="auto" w:fill="FFFFFF"/>
          <w:lang w:val="en-GB" w:eastAsia="de-DE"/>
        </w:rPr>
        <w:t xml:space="preserve"> and so on. Importantly, to build the argument that allows to choose</w:t>
      </w:r>
      <w:r w:rsidR="005A0AA4">
        <w:rPr>
          <w:rFonts w:ascii="Times New Roman" w:eastAsia="Times New Roman" w:hAnsi="Times New Roman" w:cs="Times New Roman"/>
          <w:color w:val="000000"/>
          <w:sz w:val="24"/>
          <w:szCs w:val="24"/>
          <w:shd w:val="clear" w:color="auto" w:fill="FFFFFF"/>
          <w:lang w:val="en-GB" w:eastAsia="de-DE"/>
        </w:rPr>
        <w:t xml:space="preserve"> in a reasoned way</w:t>
      </w:r>
      <w:r w:rsidR="00A46104">
        <w:rPr>
          <w:rFonts w:ascii="Times New Roman" w:eastAsia="Times New Roman" w:hAnsi="Times New Roman" w:cs="Times New Roman"/>
          <w:color w:val="000000"/>
          <w:sz w:val="24"/>
          <w:szCs w:val="24"/>
          <w:shd w:val="clear" w:color="auto" w:fill="FFFFFF"/>
          <w:lang w:val="en-GB" w:eastAsia="de-DE"/>
        </w:rPr>
        <w:t xml:space="preserve"> between alternative market rationales, it is not sufficient – as it has been done here – to focus only on the explicatory power of one theory. Instead, the explicative power of alternative theories need</w:t>
      </w:r>
      <w:r w:rsidR="004B4770">
        <w:rPr>
          <w:rFonts w:ascii="Times New Roman" w:eastAsia="Times New Roman" w:hAnsi="Times New Roman" w:cs="Times New Roman"/>
          <w:color w:val="000000"/>
          <w:sz w:val="24"/>
          <w:szCs w:val="24"/>
          <w:shd w:val="clear" w:color="auto" w:fill="FFFFFF"/>
          <w:lang w:val="en-GB" w:eastAsia="de-DE"/>
        </w:rPr>
        <w:t>s</w:t>
      </w:r>
      <w:r w:rsidR="00A46104">
        <w:rPr>
          <w:rFonts w:ascii="Times New Roman" w:eastAsia="Times New Roman" w:hAnsi="Times New Roman" w:cs="Times New Roman"/>
          <w:color w:val="000000"/>
          <w:sz w:val="24"/>
          <w:szCs w:val="24"/>
          <w:shd w:val="clear" w:color="auto" w:fill="FFFFFF"/>
          <w:lang w:val="en-GB" w:eastAsia="de-DE"/>
        </w:rPr>
        <w:t xml:space="preserve"> to be compared. For example, why does MiFID II clearly refer to the investor’s best interest according to the mainstream </w:t>
      </w:r>
      <w:r w:rsidR="006F5314">
        <w:rPr>
          <w:rFonts w:ascii="Times New Roman" w:eastAsia="Times New Roman" w:hAnsi="Times New Roman" w:cs="Times New Roman"/>
          <w:color w:val="000000"/>
          <w:sz w:val="24"/>
          <w:szCs w:val="24"/>
          <w:shd w:val="clear" w:color="auto" w:fill="FFFFFF"/>
          <w:lang w:val="en-GB" w:eastAsia="de-DE"/>
        </w:rPr>
        <w:t xml:space="preserve">economics of law </w:t>
      </w:r>
      <w:r w:rsidR="00A46104">
        <w:rPr>
          <w:rFonts w:ascii="Times New Roman" w:eastAsia="Times New Roman" w:hAnsi="Times New Roman" w:cs="Times New Roman"/>
          <w:color w:val="000000"/>
          <w:sz w:val="24"/>
          <w:szCs w:val="24"/>
          <w:shd w:val="clear" w:color="auto" w:fill="FFFFFF"/>
          <w:lang w:val="en-GB" w:eastAsia="de-DE"/>
        </w:rPr>
        <w:t>theory?</w:t>
      </w:r>
      <w:r w:rsidR="005C15F6">
        <w:rPr>
          <w:rFonts w:ascii="Times New Roman" w:eastAsia="Times New Roman" w:hAnsi="Times New Roman" w:cs="Times New Roman"/>
          <w:color w:val="000000"/>
          <w:sz w:val="24"/>
          <w:szCs w:val="24"/>
          <w:shd w:val="clear" w:color="auto" w:fill="FFFFFF"/>
          <w:lang w:val="en-GB" w:eastAsia="de-DE"/>
        </w:rPr>
        <w:t xml:space="preserve"> The comparison of theoretical explanations raises complex issues about the interplay of different theoretical desiderata</w:t>
      </w:r>
      <w:r w:rsidR="006F5314">
        <w:rPr>
          <w:rFonts w:ascii="Times New Roman" w:eastAsia="Times New Roman" w:hAnsi="Times New Roman" w:cs="Times New Roman"/>
          <w:color w:val="000000"/>
          <w:sz w:val="24"/>
          <w:szCs w:val="24"/>
          <w:shd w:val="clear" w:color="auto" w:fill="FFFFFF"/>
          <w:lang w:val="en-GB" w:eastAsia="de-DE"/>
        </w:rPr>
        <w:t xml:space="preserve"> (</w:t>
      </w:r>
      <w:r w:rsidR="005A0AA4">
        <w:rPr>
          <w:rFonts w:ascii="Times New Roman" w:eastAsia="Times New Roman" w:hAnsi="Times New Roman" w:cs="Times New Roman"/>
          <w:color w:val="000000"/>
          <w:sz w:val="24"/>
          <w:szCs w:val="24"/>
          <w:shd w:val="clear" w:color="auto" w:fill="FFFFFF"/>
          <w:lang w:val="en-GB" w:eastAsia="de-DE"/>
        </w:rPr>
        <w:t>namely</w:t>
      </w:r>
      <w:r w:rsidR="006F5314">
        <w:rPr>
          <w:rFonts w:ascii="Times New Roman" w:eastAsia="Times New Roman" w:hAnsi="Times New Roman" w:cs="Times New Roman"/>
          <w:color w:val="000000"/>
          <w:sz w:val="24"/>
          <w:szCs w:val="24"/>
          <w:shd w:val="clear" w:color="auto" w:fill="FFFFFF"/>
          <w:lang w:val="en-GB" w:eastAsia="de-DE"/>
        </w:rPr>
        <w:t xml:space="preserve"> moral plausibility and fitness with the practice)</w:t>
      </w:r>
      <w:r w:rsidR="005C15F6">
        <w:rPr>
          <w:rFonts w:ascii="Times New Roman" w:eastAsia="Times New Roman" w:hAnsi="Times New Roman" w:cs="Times New Roman"/>
          <w:color w:val="000000"/>
          <w:sz w:val="24"/>
          <w:szCs w:val="24"/>
          <w:shd w:val="clear" w:color="auto" w:fill="FFFFFF"/>
          <w:lang w:val="en-GB" w:eastAsia="de-DE"/>
        </w:rPr>
        <w:t xml:space="preserve"> that cannot be discussed here. It can be noted, however, that this issue is not new neither in legal theory in general nor with specific reference to economic explanations of the law.</w:t>
      </w:r>
      <w:r w:rsidR="005C15F6">
        <w:rPr>
          <w:rStyle w:val="Rimandonotaapidipagina"/>
          <w:rFonts w:ascii="Times New Roman" w:eastAsia="Times New Roman" w:hAnsi="Times New Roman" w:cs="Times New Roman"/>
          <w:color w:val="000000"/>
          <w:sz w:val="24"/>
          <w:szCs w:val="24"/>
          <w:shd w:val="clear" w:color="auto" w:fill="FFFFFF"/>
          <w:lang w:val="en-GB" w:eastAsia="de-DE"/>
        </w:rPr>
        <w:footnoteReference w:id="152"/>
      </w:r>
      <w:r w:rsidR="00472284">
        <w:rPr>
          <w:rFonts w:ascii="Times New Roman" w:eastAsia="Times New Roman" w:hAnsi="Times New Roman" w:cs="Times New Roman"/>
          <w:color w:val="000000"/>
          <w:sz w:val="24"/>
          <w:szCs w:val="24"/>
          <w:shd w:val="clear" w:color="auto" w:fill="FFFFFF"/>
          <w:lang w:val="en-GB" w:eastAsia="de-DE"/>
        </w:rPr>
        <w:t xml:space="preserve"> </w:t>
      </w:r>
    </w:p>
    <w:p w14:paraId="74246134" w14:textId="5D3308A4" w:rsidR="005C15F6" w:rsidRDefault="005C15F6" w:rsidP="001547E0">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Second, the scope of the theory – market behaviour regulation – needs some comment</w:t>
      </w:r>
      <w:r w:rsidR="00215F01">
        <w:rPr>
          <w:rFonts w:ascii="Times New Roman" w:eastAsia="Times New Roman" w:hAnsi="Times New Roman" w:cs="Times New Roman"/>
          <w:color w:val="000000"/>
          <w:sz w:val="24"/>
          <w:szCs w:val="24"/>
          <w:shd w:val="clear" w:color="auto" w:fill="FFFFFF"/>
          <w:lang w:val="en-GB" w:eastAsia="de-DE"/>
        </w:rPr>
        <w:t>s</w:t>
      </w:r>
      <w:r>
        <w:rPr>
          <w:rFonts w:ascii="Times New Roman" w:eastAsia="Times New Roman" w:hAnsi="Times New Roman" w:cs="Times New Roman"/>
          <w:color w:val="000000"/>
          <w:sz w:val="24"/>
          <w:szCs w:val="24"/>
          <w:shd w:val="clear" w:color="auto" w:fill="FFFFFF"/>
          <w:lang w:val="en-GB" w:eastAsia="de-DE"/>
        </w:rPr>
        <w:t>. On the one hand, the focus here is on regulation. Indeed, our primary analytical device, the principal multi agent framework, could be used also for building predictions</w:t>
      </w:r>
      <w:r w:rsidR="00186A15">
        <w:rPr>
          <w:rFonts w:ascii="Times New Roman" w:eastAsia="Times New Roman" w:hAnsi="Times New Roman" w:cs="Times New Roman"/>
          <w:color w:val="000000"/>
          <w:sz w:val="24"/>
          <w:szCs w:val="24"/>
          <w:shd w:val="clear" w:color="auto" w:fill="FFFFFF"/>
          <w:lang w:val="en-GB" w:eastAsia="de-DE"/>
        </w:rPr>
        <w:t xml:space="preserve"> (and rankings)</w:t>
      </w:r>
      <w:r>
        <w:rPr>
          <w:rFonts w:ascii="Times New Roman" w:eastAsia="Times New Roman" w:hAnsi="Times New Roman" w:cs="Times New Roman"/>
          <w:color w:val="000000"/>
          <w:sz w:val="24"/>
          <w:szCs w:val="24"/>
          <w:shd w:val="clear" w:color="auto" w:fill="FFFFFF"/>
          <w:lang w:val="en-GB" w:eastAsia="de-DE"/>
        </w:rPr>
        <w:t xml:space="preserve"> of </w:t>
      </w:r>
      <w:r w:rsidR="00186A15">
        <w:rPr>
          <w:rFonts w:ascii="Times New Roman" w:eastAsia="Times New Roman" w:hAnsi="Times New Roman" w:cs="Times New Roman"/>
          <w:color w:val="000000"/>
          <w:sz w:val="24"/>
          <w:szCs w:val="24"/>
          <w:shd w:val="clear" w:color="auto" w:fill="FFFFFF"/>
          <w:lang w:val="en-GB" w:eastAsia="de-DE"/>
        </w:rPr>
        <w:t xml:space="preserve">alternative </w:t>
      </w:r>
      <w:r>
        <w:rPr>
          <w:rFonts w:ascii="Times New Roman" w:eastAsia="Times New Roman" w:hAnsi="Times New Roman" w:cs="Times New Roman"/>
          <w:color w:val="000000"/>
          <w:sz w:val="24"/>
          <w:szCs w:val="24"/>
          <w:shd w:val="clear" w:color="auto" w:fill="FFFFFF"/>
          <w:lang w:val="en-GB" w:eastAsia="de-DE"/>
        </w:rPr>
        <w:t xml:space="preserve">allocative performances under different assumptions. </w:t>
      </w:r>
      <w:r w:rsidR="004E48D5">
        <w:rPr>
          <w:rFonts w:ascii="Times New Roman" w:eastAsia="Times New Roman" w:hAnsi="Times New Roman" w:cs="Times New Roman"/>
          <w:color w:val="000000"/>
          <w:sz w:val="24"/>
          <w:szCs w:val="24"/>
          <w:shd w:val="clear" w:color="auto" w:fill="FFFFFF"/>
          <w:lang w:val="en-GB" w:eastAsia="de-DE"/>
        </w:rPr>
        <w:t>Nonetheless, i</w:t>
      </w:r>
      <w:r>
        <w:rPr>
          <w:rFonts w:ascii="Times New Roman" w:eastAsia="Times New Roman" w:hAnsi="Times New Roman" w:cs="Times New Roman"/>
          <w:color w:val="000000"/>
          <w:sz w:val="24"/>
          <w:szCs w:val="24"/>
          <w:shd w:val="clear" w:color="auto" w:fill="FFFFFF"/>
          <w:lang w:val="en-GB" w:eastAsia="de-DE"/>
        </w:rPr>
        <w:t xml:space="preserve">n our view, that is the task of </w:t>
      </w:r>
      <w:r w:rsidRPr="001547E0">
        <w:rPr>
          <w:rFonts w:ascii="Times New Roman" w:eastAsia="Times New Roman" w:hAnsi="Times New Roman" w:cs="Times New Roman"/>
          <w:color w:val="000000"/>
          <w:sz w:val="24"/>
          <w:szCs w:val="24"/>
          <w:shd w:val="clear" w:color="auto" w:fill="FFFFFF"/>
          <w:lang w:val="en-US" w:eastAsia="de-DE"/>
        </w:rPr>
        <w:t>economists</w:t>
      </w:r>
      <w:r>
        <w:rPr>
          <w:rFonts w:ascii="Times New Roman" w:eastAsia="Times New Roman" w:hAnsi="Times New Roman" w:cs="Times New Roman"/>
          <w:color w:val="000000"/>
          <w:sz w:val="24"/>
          <w:szCs w:val="24"/>
          <w:shd w:val="clear" w:color="auto" w:fill="FFFFFF"/>
          <w:lang w:val="en-GB" w:eastAsia="de-DE"/>
        </w:rPr>
        <w:t xml:space="preserve">. As lawyers, our </w:t>
      </w:r>
      <w:r w:rsidR="004E48D5">
        <w:rPr>
          <w:rFonts w:ascii="Times New Roman" w:eastAsia="Times New Roman" w:hAnsi="Times New Roman" w:cs="Times New Roman"/>
          <w:color w:val="000000"/>
          <w:sz w:val="24"/>
          <w:szCs w:val="24"/>
          <w:shd w:val="clear" w:color="auto" w:fill="FFFFFF"/>
          <w:lang w:val="en-GB" w:eastAsia="de-DE"/>
        </w:rPr>
        <w:t xml:space="preserve">primary </w:t>
      </w:r>
      <w:r>
        <w:rPr>
          <w:rFonts w:ascii="Times New Roman" w:eastAsia="Times New Roman" w:hAnsi="Times New Roman" w:cs="Times New Roman"/>
          <w:color w:val="000000"/>
          <w:sz w:val="24"/>
          <w:szCs w:val="24"/>
          <w:shd w:val="clear" w:color="auto" w:fill="FFFFFF"/>
          <w:lang w:val="en-GB" w:eastAsia="de-DE"/>
        </w:rPr>
        <w:t xml:space="preserve">interest is understanding what are the </w:t>
      </w:r>
      <w:r w:rsidR="004E48D5">
        <w:rPr>
          <w:rFonts w:ascii="Times New Roman" w:eastAsia="Times New Roman" w:hAnsi="Times New Roman" w:cs="Times New Roman"/>
          <w:color w:val="000000"/>
          <w:sz w:val="24"/>
          <w:szCs w:val="24"/>
          <w:shd w:val="clear" w:color="auto" w:fill="FFFFFF"/>
          <w:lang w:val="en-GB" w:eastAsia="de-DE"/>
        </w:rPr>
        <w:t>assumptions</w:t>
      </w:r>
      <w:r>
        <w:rPr>
          <w:rFonts w:ascii="Times New Roman" w:eastAsia="Times New Roman" w:hAnsi="Times New Roman" w:cs="Times New Roman"/>
          <w:color w:val="000000"/>
          <w:sz w:val="24"/>
          <w:szCs w:val="24"/>
          <w:shd w:val="clear" w:color="auto" w:fill="FFFFFF"/>
          <w:lang w:val="en-GB" w:eastAsia="de-DE"/>
        </w:rPr>
        <w:t xml:space="preserve"> embodied in legal texts</w:t>
      </w:r>
      <w:r w:rsidR="00186A15">
        <w:rPr>
          <w:rFonts w:ascii="Times New Roman" w:eastAsia="Times New Roman" w:hAnsi="Times New Roman" w:cs="Times New Roman"/>
          <w:color w:val="000000"/>
          <w:sz w:val="24"/>
          <w:szCs w:val="24"/>
          <w:shd w:val="clear" w:color="auto" w:fill="FFFFFF"/>
          <w:lang w:val="en-GB" w:eastAsia="de-DE"/>
        </w:rPr>
        <w:t xml:space="preserve"> and practices</w:t>
      </w:r>
      <w:r>
        <w:rPr>
          <w:rFonts w:ascii="Times New Roman" w:eastAsia="Times New Roman" w:hAnsi="Times New Roman" w:cs="Times New Roman"/>
          <w:color w:val="000000"/>
          <w:sz w:val="24"/>
          <w:szCs w:val="24"/>
          <w:shd w:val="clear" w:color="auto" w:fill="FFFFFF"/>
          <w:lang w:val="en-GB" w:eastAsia="de-DE"/>
        </w:rPr>
        <w:t>.</w:t>
      </w:r>
      <w:r w:rsidR="00186A15">
        <w:rPr>
          <w:rFonts w:ascii="Times New Roman" w:eastAsia="Times New Roman" w:hAnsi="Times New Roman" w:cs="Times New Roman"/>
          <w:color w:val="000000"/>
          <w:sz w:val="24"/>
          <w:szCs w:val="24"/>
          <w:shd w:val="clear" w:color="auto" w:fill="FFFFFF"/>
          <w:lang w:val="en-GB" w:eastAsia="de-DE"/>
        </w:rPr>
        <w:t xml:space="preserve"> Thus, rather than on </w:t>
      </w:r>
      <w:r w:rsidR="00E91A8D">
        <w:rPr>
          <w:rFonts w:ascii="Times New Roman" w:eastAsia="Times New Roman" w:hAnsi="Times New Roman" w:cs="Times New Roman"/>
          <w:color w:val="000000"/>
          <w:sz w:val="24"/>
          <w:szCs w:val="24"/>
          <w:shd w:val="clear" w:color="auto" w:fill="FFFFFF"/>
          <w:lang w:val="en-GB" w:eastAsia="de-DE"/>
        </w:rPr>
        <w:t xml:space="preserve">market </w:t>
      </w:r>
      <w:r w:rsidR="00186A15">
        <w:rPr>
          <w:rFonts w:ascii="Times New Roman" w:eastAsia="Times New Roman" w:hAnsi="Times New Roman" w:cs="Times New Roman"/>
          <w:color w:val="000000"/>
          <w:sz w:val="24"/>
          <w:szCs w:val="24"/>
          <w:shd w:val="clear" w:color="auto" w:fill="FFFFFF"/>
          <w:lang w:val="en-GB" w:eastAsia="de-DE"/>
        </w:rPr>
        <w:t xml:space="preserve">behaviour, our focus is on </w:t>
      </w:r>
      <w:r w:rsidR="00E91A8D">
        <w:rPr>
          <w:rFonts w:ascii="Times New Roman" w:eastAsia="Times New Roman" w:hAnsi="Times New Roman" w:cs="Times New Roman"/>
          <w:color w:val="000000"/>
          <w:sz w:val="24"/>
          <w:szCs w:val="24"/>
          <w:shd w:val="clear" w:color="auto" w:fill="FFFFFF"/>
          <w:lang w:val="en-GB" w:eastAsia="de-DE"/>
        </w:rPr>
        <w:t xml:space="preserve">the </w:t>
      </w:r>
      <w:r w:rsidR="00186A15">
        <w:rPr>
          <w:rFonts w:ascii="Times New Roman" w:eastAsia="Times New Roman" w:hAnsi="Times New Roman" w:cs="Times New Roman"/>
          <w:color w:val="000000"/>
          <w:sz w:val="24"/>
          <w:szCs w:val="24"/>
          <w:shd w:val="clear" w:color="auto" w:fill="FFFFFF"/>
          <w:lang w:val="en-GB" w:eastAsia="de-DE"/>
        </w:rPr>
        <w:t>regulation</w:t>
      </w:r>
      <w:r w:rsidR="00E91A8D">
        <w:rPr>
          <w:rFonts w:ascii="Times New Roman" w:eastAsia="Times New Roman" w:hAnsi="Times New Roman" w:cs="Times New Roman"/>
          <w:color w:val="000000"/>
          <w:sz w:val="24"/>
          <w:szCs w:val="24"/>
          <w:shd w:val="clear" w:color="auto" w:fill="FFFFFF"/>
          <w:lang w:val="en-GB" w:eastAsia="de-DE"/>
        </w:rPr>
        <w:t xml:space="preserve"> of market behaviour</w:t>
      </w:r>
      <w:r w:rsidR="00186A15">
        <w:rPr>
          <w:rFonts w:ascii="Times New Roman" w:eastAsia="Times New Roman" w:hAnsi="Times New Roman" w:cs="Times New Roman"/>
          <w:color w:val="000000"/>
          <w:sz w:val="24"/>
          <w:szCs w:val="24"/>
          <w:shd w:val="clear" w:color="auto" w:fill="FFFFFF"/>
          <w:lang w:val="en-GB" w:eastAsia="de-DE"/>
        </w:rPr>
        <w:t>.</w:t>
      </w:r>
      <w:r>
        <w:rPr>
          <w:rFonts w:ascii="Times New Roman" w:eastAsia="Times New Roman" w:hAnsi="Times New Roman" w:cs="Times New Roman"/>
          <w:color w:val="000000"/>
          <w:sz w:val="24"/>
          <w:szCs w:val="24"/>
          <w:shd w:val="clear" w:color="auto" w:fill="FFFFFF"/>
          <w:lang w:val="en-GB" w:eastAsia="de-DE"/>
        </w:rPr>
        <w:t xml:space="preserve"> </w:t>
      </w:r>
      <w:r w:rsidR="004E48D5">
        <w:rPr>
          <w:rFonts w:ascii="Times New Roman" w:eastAsia="Times New Roman" w:hAnsi="Times New Roman" w:cs="Times New Roman"/>
          <w:color w:val="000000"/>
          <w:sz w:val="24"/>
          <w:szCs w:val="24"/>
          <w:shd w:val="clear" w:color="auto" w:fill="FFFFFF"/>
          <w:lang w:val="en-GB" w:eastAsia="de-DE"/>
        </w:rPr>
        <w:t xml:space="preserve">On the other hand, the identification of the regulated “market” has been left to </w:t>
      </w:r>
      <w:r w:rsidR="00186A15">
        <w:rPr>
          <w:rFonts w:ascii="Times New Roman" w:eastAsia="Times New Roman" w:hAnsi="Times New Roman" w:cs="Times New Roman"/>
          <w:color w:val="000000"/>
          <w:sz w:val="24"/>
          <w:szCs w:val="24"/>
          <w:shd w:val="clear" w:color="auto" w:fill="FFFFFF"/>
          <w:lang w:val="en-GB" w:eastAsia="de-DE"/>
        </w:rPr>
        <w:t>EU institutions</w:t>
      </w:r>
      <w:r w:rsidR="004E48D5">
        <w:rPr>
          <w:rFonts w:ascii="Times New Roman" w:eastAsia="Times New Roman" w:hAnsi="Times New Roman" w:cs="Times New Roman"/>
          <w:color w:val="000000"/>
          <w:sz w:val="24"/>
          <w:szCs w:val="24"/>
          <w:shd w:val="clear" w:color="auto" w:fill="FFFFFF"/>
          <w:lang w:val="en-GB" w:eastAsia="de-DE"/>
        </w:rPr>
        <w:t xml:space="preserve">. </w:t>
      </w:r>
      <w:r w:rsidR="00186A15">
        <w:rPr>
          <w:rFonts w:ascii="Times New Roman" w:eastAsia="Times New Roman" w:hAnsi="Times New Roman" w:cs="Times New Roman"/>
          <w:color w:val="000000"/>
          <w:sz w:val="24"/>
          <w:szCs w:val="24"/>
          <w:shd w:val="clear" w:color="auto" w:fill="FFFFFF"/>
          <w:lang w:val="en-GB" w:eastAsia="de-DE"/>
        </w:rPr>
        <w:t>This approach is in open contrast with the idea – very strong</w:t>
      </w:r>
      <w:r w:rsidR="00E91A8D">
        <w:rPr>
          <w:rFonts w:ascii="Times New Roman" w:eastAsia="Times New Roman" w:hAnsi="Times New Roman" w:cs="Times New Roman"/>
          <w:color w:val="000000"/>
          <w:sz w:val="24"/>
          <w:szCs w:val="24"/>
          <w:shd w:val="clear" w:color="auto" w:fill="FFFFFF"/>
          <w:lang w:val="en-GB" w:eastAsia="de-DE"/>
        </w:rPr>
        <w:t>, for example,</w:t>
      </w:r>
      <w:r w:rsidR="00186A15">
        <w:rPr>
          <w:rFonts w:ascii="Times New Roman" w:eastAsia="Times New Roman" w:hAnsi="Times New Roman" w:cs="Times New Roman"/>
          <w:color w:val="000000"/>
          <w:sz w:val="24"/>
          <w:szCs w:val="24"/>
          <w:shd w:val="clear" w:color="auto" w:fill="FFFFFF"/>
          <w:lang w:val="en-GB" w:eastAsia="de-DE"/>
        </w:rPr>
        <w:t xml:space="preserve"> in the Chicago School – that the market represents an analytical tool </w:t>
      </w:r>
      <w:r w:rsidR="00186A15">
        <w:rPr>
          <w:rFonts w:ascii="Times New Roman" w:eastAsia="Times New Roman" w:hAnsi="Times New Roman" w:cs="Times New Roman"/>
          <w:color w:val="000000"/>
          <w:sz w:val="24"/>
          <w:szCs w:val="24"/>
          <w:shd w:val="clear" w:color="auto" w:fill="FFFFFF"/>
          <w:lang w:val="en-GB" w:eastAsia="de-DE"/>
        </w:rPr>
        <w:lastRenderedPageBreak/>
        <w:t xml:space="preserve">applicable to a variety of </w:t>
      </w:r>
      <w:r w:rsidR="00E91A8D">
        <w:rPr>
          <w:rFonts w:ascii="Times New Roman" w:eastAsia="Times New Roman" w:hAnsi="Times New Roman" w:cs="Times New Roman"/>
          <w:color w:val="000000"/>
          <w:sz w:val="24"/>
          <w:szCs w:val="24"/>
          <w:shd w:val="clear" w:color="auto" w:fill="FFFFFF"/>
          <w:lang w:val="en-GB" w:eastAsia="de-DE"/>
        </w:rPr>
        <w:t xml:space="preserve">social </w:t>
      </w:r>
      <w:r w:rsidR="00186A15">
        <w:rPr>
          <w:rFonts w:ascii="Times New Roman" w:eastAsia="Times New Roman" w:hAnsi="Times New Roman" w:cs="Times New Roman"/>
          <w:color w:val="000000"/>
          <w:sz w:val="24"/>
          <w:szCs w:val="24"/>
          <w:shd w:val="clear" w:color="auto" w:fill="FFFFFF"/>
          <w:lang w:val="en-GB" w:eastAsia="de-DE"/>
        </w:rPr>
        <w:t>context</w:t>
      </w:r>
      <w:r w:rsidR="00E91A8D">
        <w:rPr>
          <w:rFonts w:ascii="Times New Roman" w:eastAsia="Times New Roman" w:hAnsi="Times New Roman" w:cs="Times New Roman"/>
          <w:color w:val="000000"/>
          <w:sz w:val="24"/>
          <w:szCs w:val="24"/>
          <w:shd w:val="clear" w:color="auto" w:fill="FFFFFF"/>
          <w:lang w:val="en-GB" w:eastAsia="de-DE"/>
        </w:rPr>
        <w:t>s</w:t>
      </w:r>
      <w:r w:rsidR="00186A15">
        <w:rPr>
          <w:rFonts w:ascii="Times New Roman" w:eastAsia="Times New Roman" w:hAnsi="Times New Roman" w:cs="Times New Roman"/>
          <w:color w:val="000000"/>
          <w:sz w:val="24"/>
          <w:szCs w:val="24"/>
          <w:shd w:val="clear" w:color="auto" w:fill="FFFFFF"/>
          <w:lang w:val="en-GB" w:eastAsia="de-DE"/>
        </w:rPr>
        <w:t xml:space="preserve"> </w:t>
      </w:r>
      <w:r w:rsidR="00E91A8D">
        <w:rPr>
          <w:rFonts w:ascii="Times New Roman" w:eastAsia="Times New Roman" w:hAnsi="Times New Roman" w:cs="Times New Roman"/>
          <w:color w:val="000000"/>
          <w:sz w:val="24"/>
          <w:szCs w:val="24"/>
          <w:shd w:val="clear" w:color="auto" w:fill="FFFFFF"/>
          <w:lang w:val="en-GB" w:eastAsia="de-DE"/>
        </w:rPr>
        <w:t>normally not</w:t>
      </w:r>
      <w:r w:rsidR="00186A15">
        <w:rPr>
          <w:rFonts w:ascii="Times New Roman" w:eastAsia="Times New Roman" w:hAnsi="Times New Roman" w:cs="Times New Roman"/>
          <w:color w:val="000000"/>
          <w:sz w:val="24"/>
          <w:szCs w:val="24"/>
          <w:shd w:val="clear" w:color="auto" w:fill="FFFFFF"/>
          <w:lang w:val="en-GB" w:eastAsia="de-DE"/>
        </w:rPr>
        <w:t xml:space="preserve"> consider</w:t>
      </w:r>
      <w:r w:rsidR="00E91A8D">
        <w:rPr>
          <w:rFonts w:ascii="Times New Roman" w:eastAsia="Times New Roman" w:hAnsi="Times New Roman" w:cs="Times New Roman"/>
          <w:color w:val="000000"/>
          <w:sz w:val="24"/>
          <w:szCs w:val="24"/>
          <w:shd w:val="clear" w:color="auto" w:fill="FFFFFF"/>
          <w:lang w:val="en-GB" w:eastAsia="de-DE"/>
        </w:rPr>
        <w:t>ed</w:t>
      </w:r>
      <w:r w:rsidR="00186A15">
        <w:rPr>
          <w:rFonts w:ascii="Times New Roman" w:eastAsia="Times New Roman" w:hAnsi="Times New Roman" w:cs="Times New Roman"/>
          <w:color w:val="000000"/>
          <w:sz w:val="24"/>
          <w:szCs w:val="24"/>
          <w:shd w:val="clear" w:color="auto" w:fill="FFFFFF"/>
          <w:lang w:val="en-GB" w:eastAsia="de-DE"/>
        </w:rPr>
        <w:t xml:space="preserve"> markets (like</w:t>
      </w:r>
      <w:r w:rsidR="00274F5A">
        <w:rPr>
          <w:rFonts w:ascii="Times New Roman" w:eastAsia="Times New Roman" w:hAnsi="Times New Roman" w:cs="Times New Roman"/>
          <w:color w:val="000000"/>
          <w:sz w:val="24"/>
          <w:szCs w:val="24"/>
          <w:shd w:val="clear" w:color="auto" w:fill="FFFFFF"/>
          <w:lang w:val="en-GB" w:eastAsia="de-DE"/>
        </w:rPr>
        <w:t xml:space="preserve"> sex,</w:t>
      </w:r>
      <w:r w:rsidR="00186A15">
        <w:rPr>
          <w:rFonts w:ascii="Times New Roman" w:eastAsia="Times New Roman" w:hAnsi="Times New Roman" w:cs="Times New Roman"/>
          <w:color w:val="000000"/>
          <w:sz w:val="24"/>
          <w:szCs w:val="24"/>
          <w:shd w:val="clear" w:color="auto" w:fill="FFFFFF"/>
          <w:lang w:val="en-GB" w:eastAsia="de-DE"/>
        </w:rPr>
        <w:t xml:space="preserve"> marriage and adoption</w:t>
      </w:r>
      <w:r w:rsidR="00E91A8D">
        <w:rPr>
          <w:rFonts w:ascii="Times New Roman" w:eastAsia="Times New Roman" w:hAnsi="Times New Roman" w:cs="Times New Roman"/>
          <w:color w:val="000000"/>
          <w:sz w:val="24"/>
          <w:szCs w:val="24"/>
          <w:shd w:val="clear" w:color="auto" w:fill="FFFFFF"/>
          <w:lang w:val="en-GB" w:eastAsia="de-DE"/>
        </w:rPr>
        <w:t>s, to name some of the most striking ones</w:t>
      </w:r>
      <w:r w:rsidR="00186A15">
        <w:rPr>
          <w:rFonts w:ascii="Times New Roman" w:eastAsia="Times New Roman" w:hAnsi="Times New Roman" w:cs="Times New Roman"/>
          <w:color w:val="000000"/>
          <w:sz w:val="24"/>
          <w:szCs w:val="24"/>
          <w:shd w:val="clear" w:color="auto" w:fill="FFFFFF"/>
          <w:lang w:val="en-GB" w:eastAsia="de-DE"/>
        </w:rPr>
        <w:t>). We do not intend to implicitly reject that approach</w:t>
      </w:r>
      <w:r w:rsidR="00E91A8D">
        <w:rPr>
          <w:rFonts w:ascii="Times New Roman" w:eastAsia="Times New Roman" w:hAnsi="Times New Roman" w:cs="Times New Roman"/>
          <w:color w:val="000000"/>
          <w:sz w:val="24"/>
          <w:szCs w:val="24"/>
          <w:shd w:val="clear" w:color="auto" w:fill="FFFFFF"/>
          <w:lang w:val="en-GB" w:eastAsia="de-DE"/>
        </w:rPr>
        <w:t xml:space="preserve"> here</w:t>
      </w:r>
      <w:r w:rsidR="00186A15">
        <w:rPr>
          <w:rFonts w:ascii="Times New Roman" w:eastAsia="Times New Roman" w:hAnsi="Times New Roman" w:cs="Times New Roman"/>
          <w:color w:val="000000"/>
          <w:sz w:val="24"/>
          <w:szCs w:val="24"/>
          <w:shd w:val="clear" w:color="auto" w:fill="FFFFFF"/>
          <w:lang w:val="en-GB" w:eastAsia="de-DE"/>
        </w:rPr>
        <w:t xml:space="preserve">. We simply think that before extending a framework </w:t>
      </w:r>
      <w:r w:rsidR="00274F5A">
        <w:rPr>
          <w:rFonts w:ascii="Times New Roman" w:eastAsia="Times New Roman" w:hAnsi="Times New Roman" w:cs="Times New Roman"/>
          <w:color w:val="000000"/>
          <w:sz w:val="24"/>
          <w:szCs w:val="24"/>
          <w:shd w:val="clear" w:color="auto" w:fill="FFFFFF"/>
          <w:lang w:val="en-GB" w:eastAsia="de-DE"/>
        </w:rPr>
        <w:t xml:space="preserve">about markets </w:t>
      </w:r>
      <w:r w:rsidR="00186A15">
        <w:rPr>
          <w:rFonts w:ascii="Times New Roman" w:eastAsia="Times New Roman" w:hAnsi="Times New Roman" w:cs="Times New Roman"/>
          <w:color w:val="000000"/>
          <w:sz w:val="24"/>
          <w:szCs w:val="24"/>
          <w:shd w:val="clear" w:color="auto" w:fill="FFFFFF"/>
          <w:lang w:val="en-GB" w:eastAsia="de-DE"/>
        </w:rPr>
        <w:t xml:space="preserve">beyond the usual understanding of markets, it makes sense to focus on social practices that unambiguously are considered </w:t>
      </w:r>
      <w:r w:rsidR="00274F5A">
        <w:rPr>
          <w:rFonts w:ascii="Times New Roman" w:eastAsia="Times New Roman" w:hAnsi="Times New Roman" w:cs="Times New Roman"/>
          <w:color w:val="000000"/>
          <w:sz w:val="24"/>
          <w:szCs w:val="24"/>
          <w:shd w:val="clear" w:color="auto" w:fill="FFFFFF"/>
          <w:lang w:val="en-GB" w:eastAsia="de-DE"/>
        </w:rPr>
        <w:t>instances of market behaviour</w:t>
      </w:r>
      <w:r w:rsidR="00186A15">
        <w:rPr>
          <w:rFonts w:ascii="Times New Roman" w:eastAsia="Times New Roman" w:hAnsi="Times New Roman" w:cs="Times New Roman"/>
          <w:color w:val="000000"/>
          <w:sz w:val="24"/>
          <w:szCs w:val="24"/>
          <w:shd w:val="clear" w:color="auto" w:fill="FFFFFF"/>
          <w:lang w:val="en-GB" w:eastAsia="de-DE"/>
        </w:rPr>
        <w:t>.</w:t>
      </w:r>
      <w:r w:rsidR="00472284">
        <w:rPr>
          <w:rFonts w:ascii="Times New Roman" w:eastAsia="Times New Roman" w:hAnsi="Times New Roman" w:cs="Times New Roman"/>
          <w:color w:val="000000"/>
          <w:sz w:val="24"/>
          <w:szCs w:val="24"/>
          <w:shd w:val="clear" w:color="auto" w:fill="FFFFFF"/>
          <w:lang w:val="en-GB" w:eastAsia="de-DE"/>
        </w:rPr>
        <w:t xml:space="preserve"> Similarly, in future works we will have to be more precise in the use of terms like consumer, investor, client and shareholder.</w:t>
      </w:r>
    </w:p>
    <w:p w14:paraId="23B09809" w14:textId="18A5BB6C" w:rsidR="00274F5A" w:rsidRDefault="00274F5A" w:rsidP="001547E0">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 xml:space="preserve">Finally, this project seems promising also for scholars not necessarily interested in a Law and Economics Theory of (EU) Market Behaviour Regulation, but </w:t>
      </w:r>
      <w:r w:rsidR="004B3326">
        <w:rPr>
          <w:rFonts w:ascii="Times New Roman" w:eastAsia="Times New Roman" w:hAnsi="Times New Roman" w:cs="Times New Roman"/>
          <w:color w:val="000000"/>
          <w:sz w:val="24"/>
          <w:szCs w:val="24"/>
          <w:shd w:val="clear" w:color="auto" w:fill="FFFFFF"/>
          <w:lang w:val="en-GB" w:eastAsia="de-DE"/>
        </w:rPr>
        <w:t>i</w:t>
      </w:r>
      <w:r>
        <w:rPr>
          <w:rFonts w:ascii="Times New Roman" w:eastAsia="Times New Roman" w:hAnsi="Times New Roman" w:cs="Times New Roman"/>
          <w:color w:val="000000"/>
          <w:sz w:val="24"/>
          <w:szCs w:val="24"/>
          <w:shd w:val="clear" w:color="auto" w:fill="FFFFFF"/>
          <w:lang w:val="en-GB" w:eastAsia="de-DE"/>
        </w:rPr>
        <w:t xml:space="preserve">n the </w:t>
      </w:r>
      <w:r w:rsidR="005959E6">
        <w:rPr>
          <w:rFonts w:ascii="Times New Roman" w:eastAsia="Times New Roman" w:hAnsi="Times New Roman" w:cs="Times New Roman"/>
          <w:color w:val="000000"/>
          <w:sz w:val="24"/>
          <w:szCs w:val="24"/>
          <w:shd w:val="clear" w:color="auto" w:fill="FFFFFF"/>
          <w:lang w:val="en-GB" w:eastAsia="de-DE"/>
        </w:rPr>
        <w:t xml:space="preserve">systematic </w:t>
      </w:r>
      <w:r>
        <w:rPr>
          <w:rFonts w:ascii="Times New Roman" w:eastAsia="Times New Roman" w:hAnsi="Times New Roman" w:cs="Times New Roman"/>
          <w:color w:val="000000"/>
          <w:sz w:val="24"/>
          <w:szCs w:val="24"/>
          <w:shd w:val="clear" w:color="auto" w:fill="FFFFFF"/>
          <w:lang w:val="en-GB" w:eastAsia="de-DE"/>
        </w:rPr>
        <w:t xml:space="preserve">integration of principal agent theory in </w:t>
      </w:r>
      <w:r w:rsidR="005959E6">
        <w:rPr>
          <w:rFonts w:ascii="Times New Roman" w:eastAsia="Times New Roman" w:hAnsi="Times New Roman" w:cs="Times New Roman"/>
          <w:color w:val="000000"/>
          <w:sz w:val="24"/>
          <w:szCs w:val="24"/>
          <w:shd w:val="clear" w:color="auto" w:fill="FFFFFF"/>
          <w:lang w:val="en-GB" w:eastAsia="de-DE"/>
        </w:rPr>
        <w:t xml:space="preserve">contract </w:t>
      </w:r>
      <w:r>
        <w:rPr>
          <w:rFonts w:ascii="Times New Roman" w:eastAsia="Times New Roman" w:hAnsi="Times New Roman" w:cs="Times New Roman"/>
          <w:color w:val="000000"/>
          <w:sz w:val="24"/>
          <w:szCs w:val="24"/>
          <w:shd w:val="clear" w:color="auto" w:fill="FFFFFF"/>
          <w:lang w:val="en-GB" w:eastAsia="de-DE"/>
        </w:rPr>
        <w:t>legal scholarship more generally. In fact, one of us has recently called for the creation of the field of legal research on contract governance.</w:t>
      </w:r>
      <w:r w:rsidR="005959E6">
        <w:rPr>
          <w:rStyle w:val="Rimandonotaapidipagina"/>
          <w:rFonts w:ascii="Times New Roman" w:eastAsia="Times New Roman" w:hAnsi="Times New Roman" w:cs="Times New Roman"/>
          <w:color w:val="000000"/>
          <w:sz w:val="24"/>
          <w:szCs w:val="24"/>
          <w:shd w:val="clear" w:color="auto" w:fill="FFFFFF"/>
          <w:lang w:val="en-GB" w:eastAsia="de-DE"/>
        </w:rPr>
        <w:footnoteReference w:id="153"/>
      </w:r>
      <w:r>
        <w:rPr>
          <w:rFonts w:ascii="Times New Roman" w:eastAsia="Times New Roman" w:hAnsi="Times New Roman" w:cs="Times New Roman"/>
          <w:color w:val="000000"/>
          <w:sz w:val="24"/>
          <w:szCs w:val="24"/>
          <w:shd w:val="clear" w:color="auto" w:fill="FFFFFF"/>
          <w:lang w:val="en-GB" w:eastAsia="de-DE"/>
        </w:rPr>
        <w:t xml:space="preserve"> The main argument was, similarly to the case of Gillette as well as Sunstein and Bar-Gill</w:t>
      </w:r>
      <w:r w:rsidR="00767588">
        <w:rPr>
          <w:rFonts w:ascii="Times New Roman" w:eastAsia="Times New Roman" w:hAnsi="Times New Roman" w:cs="Times New Roman"/>
          <w:color w:val="000000"/>
          <w:sz w:val="24"/>
          <w:szCs w:val="24"/>
          <w:shd w:val="clear" w:color="auto" w:fill="FFFFFF"/>
          <w:lang w:val="en-GB" w:eastAsia="de-DE"/>
        </w:rPr>
        <w:t>’s articles</w:t>
      </w:r>
      <w:r>
        <w:rPr>
          <w:rFonts w:ascii="Times New Roman" w:eastAsia="Times New Roman" w:hAnsi="Times New Roman" w:cs="Times New Roman"/>
          <w:color w:val="000000"/>
          <w:sz w:val="24"/>
          <w:szCs w:val="24"/>
          <w:shd w:val="clear" w:color="auto" w:fill="FFFFFF"/>
          <w:lang w:val="en-GB" w:eastAsia="de-DE"/>
        </w:rPr>
        <w:t>,</w:t>
      </w:r>
      <w:r>
        <w:rPr>
          <w:rStyle w:val="Rimandonotaapidipagina"/>
          <w:rFonts w:ascii="Times New Roman" w:eastAsia="Times New Roman" w:hAnsi="Times New Roman" w:cs="Times New Roman"/>
          <w:color w:val="000000"/>
          <w:sz w:val="24"/>
          <w:szCs w:val="24"/>
          <w:shd w:val="clear" w:color="auto" w:fill="FFFFFF"/>
          <w:lang w:val="en-GB" w:eastAsia="de-DE"/>
        </w:rPr>
        <w:footnoteReference w:id="154"/>
      </w:r>
      <w:r>
        <w:rPr>
          <w:rFonts w:ascii="Times New Roman" w:eastAsia="Times New Roman" w:hAnsi="Times New Roman" w:cs="Times New Roman"/>
          <w:color w:val="000000"/>
          <w:sz w:val="24"/>
          <w:szCs w:val="24"/>
          <w:shd w:val="clear" w:color="auto" w:fill="FFFFFF"/>
          <w:lang w:val="en-GB" w:eastAsia="de-DE"/>
        </w:rPr>
        <w:t xml:space="preserve"> that </w:t>
      </w:r>
      <w:r w:rsidR="002C14B1" w:rsidRPr="001547E0">
        <w:rPr>
          <w:rFonts w:ascii="Times New Roman" w:eastAsia="Times New Roman" w:hAnsi="Times New Roman" w:cs="Times New Roman"/>
          <w:color w:val="000000"/>
          <w:sz w:val="24"/>
          <w:szCs w:val="24"/>
          <w:shd w:val="clear" w:color="auto" w:fill="FFFFFF"/>
          <w:lang w:val="en-US" w:eastAsia="de-DE"/>
        </w:rPr>
        <w:t>contract</w:t>
      </w:r>
      <w:r w:rsidR="002C14B1">
        <w:rPr>
          <w:rFonts w:ascii="Times New Roman" w:eastAsia="Times New Roman" w:hAnsi="Times New Roman" w:cs="Times New Roman"/>
          <w:color w:val="000000"/>
          <w:sz w:val="24"/>
          <w:szCs w:val="24"/>
          <w:shd w:val="clear" w:color="auto" w:fill="FFFFFF"/>
          <w:lang w:val="en-GB" w:eastAsia="de-DE"/>
        </w:rPr>
        <w:t xml:space="preserve"> governance is a useful – arguably, the best available – framework for </w:t>
      </w:r>
      <w:r w:rsidR="00767588">
        <w:rPr>
          <w:rFonts w:ascii="Times New Roman" w:eastAsia="Times New Roman" w:hAnsi="Times New Roman" w:cs="Times New Roman"/>
          <w:color w:val="000000"/>
          <w:sz w:val="24"/>
          <w:szCs w:val="24"/>
          <w:shd w:val="clear" w:color="auto" w:fill="FFFFFF"/>
          <w:lang w:val="en-GB" w:eastAsia="de-DE"/>
        </w:rPr>
        <w:t>building a</w:t>
      </w:r>
      <w:r w:rsidR="005D7C5A">
        <w:rPr>
          <w:rFonts w:ascii="Times New Roman" w:eastAsia="Times New Roman" w:hAnsi="Times New Roman" w:cs="Times New Roman"/>
          <w:color w:val="000000"/>
          <w:sz w:val="24"/>
          <w:szCs w:val="24"/>
          <w:shd w:val="clear" w:color="auto" w:fill="FFFFFF"/>
          <w:lang w:val="en-GB" w:eastAsia="de-DE"/>
        </w:rPr>
        <w:t xml:space="preserve"> contract theory allowing to reflect on the most challenging problems</w:t>
      </w:r>
      <w:r w:rsidR="00767588">
        <w:rPr>
          <w:rFonts w:ascii="Times New Roman" w:eastAsia="Times New Roman" w:hAnsi="Times New Roman" w:cs="Times New Roman"/>
          <w:color w:val="000000"/>
          <w:sz w:val="24"/>
          <w:szCs w:val="24"/>
          <w:shd w:val="clear" w:color="auto" w:fill="FFFFFF"/>
          <w:lang w:val="en-GB" w:eastAsia="de-DE"/>
        </w:rPr>
        <w:t xml:space="preserve"> of current contractual practices</w:t>
      </w:r>
      <w:r w:rsidR="005D7C5A">
        <w:rPr>
          <w:rFonts w:ascii="Times New Roman" w:eastAsia="Times New Roman" w:hAnsi="Times New Roman" w:cs="Times New Roman"/>
          <w:color w:val="000000"/>
          <w:sz w:val="24"/>
          <w:szCs w:val="24"/>
          <w:shd w:val="clear" w:color="auto" w:fill="FFFFFF"/>
          <w:lang w:val="en-GB" w:eastAsia="de-DE"/>
        </w:rPr>
        <w:t>,</w:t>
      </w:r>
      <w:r w:rsidR="002C14B1">
        <w:rPr>
          <w:rFonts w:ascii="Times New Roman" w:eastAsia="Times New Roman" w:hAnsi="Times New Roman" w:cs="Times New Roman"/>
          <w:color w:val="000000"/>
          <w:sz w:val="24"/>
          <w:szCs w:val="24"/>
          <w:shd w:val="clear" w:color="auto" w:fill="FFFFFF"/>
          <w:lang w:val="en-GB" w:eastAsia="de-DE"/>
        </w:rPr>
        <w:t xml:space="preserve"> </w:t>
      </w:r>
      <w:r w:rsidR="005D7C5A">
        <w:rPr>
          <w:rFonts w:ascii="Times New Roman" w:eastAsia="Times New Roman" w:hAnsi="Times New Roman" w:cs="Times New Roman"/>
          <w:color w:val="000000"/>
          <w:sz w:val="24"/>
          <w:szCs w:val="24"/>
          <w:shd w:val="clear" w:color="auto" w:fill="FFFFFF"/>
          <w:lang w:val="en-GB" w:eastAsia="de-DE"/>
        </w:rPr>
        <w:t>namely third-parties effects</w:t>
      </w:r>
      <w:r w:rsidR="002C14B1">
        <w:rPr>
          <w:rFonts w:ascii="Times New Roman" w:eastAsia="Times New Roman" w:hAnsi="Times New Roman" w:cs="Times New Roman"/>
          <w:color w:val="000000"/>
          <w:sz w:val="24"/>
          <w:szCs w:val="24"/>
          <w:shd w:val="clear" w:color="auto" w:fill="FFFFFF"/>
          <w:lang w:val="en-GB" w:eastAsia="de-DE"/>
        </w:rPr>
        <w:t xml:space="preserve">, </w:t>
      </w:r>
      <w:r w:rsidR="005959E6">
        <w:rPr>
          <w:rFonts w:ascii="Times New Roman" w:eastAsia="Times New Roman" w:hAnsi="Times New Roman" w:cs="Times New Roman"/>
          <w:color w:val="000000"/>
          <w:sz w:val="24"/>
          <w:szCs w:val="24"/>
          <w:shd w:val="clear" w:color="auto" w:fill="FFFFFF"/>
          <w:lang w:val="en-GB" w:eastAsia="de-DE"/>
        </w:rPr>
        <w:t>networks of contracts and long-term contracts</w:t>
      </w:r>
      <w:r>
        <w:rPr>
          <w:rFonts w:ascii="Times New Roman" w:eastAsia="Times New Roman" w:hAnsi="Times New Roman" w:cs="Times New Roman"/>
          <w:color w:val="000000"/>
          <w:sz w:val="24"/>
          <w:szCs w:val="24"/>
          <w:shd w:val="clear" w:color="auto" w:fill="FFFFFF"/>
          <w:lang w:val="en-GB" w:eastAsia="de-DE"/>
        </w:rPr>
        <w:t>.</w:t>
      </w:r>
      <w:r w:rsidR="005959E6">
        <w:rPr>
          <w:rFonts w:ascii="Times New Roman" w:eastAsia="Times New Roman" w:hAnsi="Times New Roman" w:cs="Times New Roman"/>
          <w:color w:val="000000"/>
          <w:sz w:val="24"/>
          <w:szCs w:val="24"/>
          <w:shd w:val="clear" w:color="auto" w:fill="FFFFFF"/>
          <w:lang w:val="en-GB" w:eastAsia="de-DE"/>
        </w:rPr>
        <w:t xml:space="preserve"> Integrating the contract governance project and the framework discussed here has theoretical and normative advantages. Theoretically, the advantage of the approach proposed in this </w:t>
      </w:r>
      <w:r w:rsidR="00767588">
        <w:rPr>
          <w:rFonts w:ascii="Times New Roman" w:eastAsia="Times New Roman" w:hAnsi="Times New Roman" w:cs="Times New Roman"/>
          <w:color w:val="000000"/>
          <w:sz w:val="24"/>
          <w:szCs w:val="24"/>
          <w:shd w:val="clear" w:color="auto" w:fill="FFFFFF"/>
          <w:lang w:val="en-GB" w:eastAsia="de-DE"/>
        </w:rPr>
        <w:t>article</w:t>
      </w:r>
      <w:r w:rsidR="005959E6">
        <w:rPr>
          <w:rFonts w:ascii="Times New Roman" w:eastAsia="Times New Roman" w:hAnsi="Times New Roman" w:cs="Times New Roman"/>
          <w:color w:val="000000"/>
          <w:sz w:val="24"/>
          <w:szCs w:val="24"/>
          <w:shd w:val="clear" w:color="auto" w:fill="FFFFFF"/>
          <w:lang w:val="en-GB" w:eastAsia="de-DE"/>
        </w:rPr>
        <w:t xml:space="preserve"> is that it allows to analyse also spot contract in their normal</w:t>
      </w:r>
      <w:r w:rsidR="005D7C5A">
        <w:rPr>
          <w:rFonts w:ascii="Times New Roman" w:eastAsia="Times New Roman" w:hAnsi="Times New Roman" w:cs="Times New Roman"/>
          <w:color w:val="000000"/>
          <w:sz w:val="24"/>
          <w:szCs w:val="24"/>
          <w:shd w:val="clear" w:color="auto" w:fill="FFFFFF"/>
          <w:lang w:val="en-GB" w:eastAsia="de-DE"/>
        </w:rPr>
        <w:t xml:space="preserve"> and internal</w:t>
      </w:r>
      <w:r w:rsidR="005959E6">
        <w:rPr>
          <w:rFonts w:ascii="Times New Roman" w:eastAsia="Times New Roman" w:hAnsi="Times New Roman" w:cs="Times New Roman"/>
          <w:color w:val="000000"/>
          <w:sz w:val="24"/>
          <w:szCs w:val="24"/>
          <w:shd w:val="clear" w:color="auto" w:fill="FFFFFF"/>
          <w:lang w:val="en-GB" w:eastAsia="de-DE"/>
        </w:rPr>
        <w:t xml:space="preserve"> dynamic and not only with respect to the pathology of third-part</w:t>
      </w:r>
      <w:r w:rsidR="00767588">
        <w:rPr>
          <w:rFonts w:ascii="Times New Roman" w:eastAsia="Times New Roman" w:hAnsi="Times New Roman" w:cs="Times New Roman"/>
          <w:color w:val="000000"/>
          <w:sz w:val="24"/>
          <w:szCs w:val="24"/>
          <w:shd w:val="clear" w:color="auto" w:fill="FFFFFF"/>
          <w:lang w:val="en-GB" w:eastAsia="de-DE"/>
        </w:rPr>
        <w:t>ies</w:t>
      </w:r>
      <w:r w:rsidR="005959E6">
        <w:rPr>
          <w:rFonts w:ascii="Times New Roman" w:eastAsia="Times New Roman" w:hAnsi="Times New Roman" w:cs="Times New Roman"/>
          <w:color w:val="000000"/>
          <w:sz w:val="24"/>
          <w:szCs w:val="24"/>
          <w:shd w:val="clear" w:color="auto" w:fill="FFFFFF"/>
          <w:lang w:val="en-GB" w:eastAsia="de-DE"/>
        </w:rPr>
        <w:t xml:space="preserve"> effects.</w:t>
      </w:r>
      <w:r>
        <w:rPr>
          <w:rFonts w:ascii="Times New Roman" w:eastAsia="Times New Roman" w:hAnsi="Times New Roman" w:cs="Times New Roman"/>
          <w:color w:val="000000"/>
          <w:sz w:val="24"/>
          <w:szCs w:val="24"/>
          <w:shd w:val="clear" w:color="auto" w:fill="FFFFFF"/>
          <w:lang w:val="en-GB" w:eastAsia="de-DE"/>
        </w:rPr>
        <w:t xml:space="preserve"> </w:t>
      </w:r>
      <w:r w:rsidR="005959E6">
        <w:rPr>
          <w:rFonts w:ascii="Times New Roman" w:eastAsia="Times New Roman" w:hAnsi="Times New Roman" w:cs="Times New Roman"/>
          <w:color w:val="000000"/>
          <w:sz w:val="24"/>
          <w:szCs w:val="24"/>
          <w:shd w:val="clear" w:color="auto" w:fill="FFFFFF"/>
          <w:lang w:val="en-GB" w:eastAsia="de-DE"/>
        </w:rPr>
        <w:t>Normatively, t</w:t>
      </w:r>
      <w:r w:rsidR="00472284">
        <w:rPr>
          <w:rFonts w:ascii="Times New Roman" w:eastAsia="Times New Roman" w:hAnsi="Times New Roman" w:cs="Times New Roman"/>
          <w:color w:val="000000"/>
          <w:sz w:val="24"/>
          <w:szCs w:val="24"/>
          <w:shd w:val="clear" w:color="auto" w:fill="FFFFFF"/>
          <w:lang w:val="en-GB" w:eastAsia="de-DE"/>
        </w:rPr>
        <w:t>he framework proposed here also suggests what the normative foundation of th</w:t>
      </w:r>
      <w:r w:rsidR="005959E6">
        <w:rPr>
          <w:rFonts w:ascii="Times New Roman" w:eastAsia="Times New Roman" w:hAnsi="Times New Roman" w:cs="Times New Roman"/>
          <w:color w:val="000000"/>
          <w:sz w:val="24"/>
          <w:szCs w:val="24"/>
          <w:shd w:val="clear" w:color="auto" w:fill="FFFFFF"/>
          <w:lang w:val="en-GB" w:eastAsia="de-DE"/>
        </w:rPr>
        <w:t>e contract governance</w:t>
      </w:r>
      <w:r w:rsidR="00472284">
        <w:rPr>
          <w:rFonts w:ascii="Times New Roman" w:eastAsia="Times New Roman" w:hAnsi="Times New Roman" w:cs="Times New Roman"/>
          <w:color w:val="000000"/>
          <w:sz w:val="24"/>
          <w:szCs w:val="24"/>
          <w:shd w:val="clear" w:color="auto" w:fill="FFFFFF"/>
          <w:lang w:val="en-GB" w:eastAsia="de-DE"/>
        </w:rPr>
        <w:t xml:space="preserve"> </w:t>
      </w:r>
      <w:r w:rsidR="005959E6">
        <w:rPr>
          <w:rFonts w:ascii="Times New Roman" w:eastAsia="Times New Roman" w:hAnsi="Times New Roman" w:cs="Times New Roman"/>
          <w:color w:val="000000"/>
          <w:sz w:val="24"/>
          <w:szCs w:val="24"/>
          <w:shd w:val="clear" w:color="auto" w:fill="FFFFFF"/>
          <w:lang w:val="en-GB" w:eastAsia="de-DE"/>
        </w:rPr>
        <w:t>project could be</w:t>
      </w:r>
      <w:r w:rsidR="005D7C5A">
        <w:rPr>
          <w:rFonts w:ascii="Times New Roman" w:eastAsia="Times New Roman" w:hAnsi="Times New Roman" w:cs="Times New Roman"/>
          <w:color w:val="000000"/>
          <w:sz w:val="24"/>
          <w:szCs w:val="24"/>
          <w:shd w:val="clear" w:color="auto" w:fill="FFFFFF"/>
          <w:lang w:val="en-GB" w:eastAsia="de-DE"/>
        </w:rPr>
        <w:t>:</w:t>
      </w:r>
      <w:r w:rsidR="00472284">
        <w:rPr>
          <w:rFonts w:ascii="Times New Roman" w:eastAsia="Times New Roman" w:hAnsi="Times New Roman" w:cs="Times New Roman"/>
          <w:color w:val="000000"/>
          <w:sz w:val="24"/>
          <w:szCs w:val="24"/>
          <w:shd w:val="clear" w:color="auto" w:fill="FFFFFF"/>
          <w:lang w:val="en-GB" w:eastAsia="de-DE"/>
        </w:rPr>
        <w:t xml:space="preserve"> allocative efficiency, understood – as suggest</w:t>
      </w:r>
      <w:r w:rsidR="005D7C5A">
        <w:rPr>
          <w:rFonts w:ascii="Times New Roman" w:eastAsia="Times New Roman" w:hAnsi="Times New Roman" w:cs="Times New Roman"/>
          <w:color w:val="000000"/>
          <w:sz w:val="24"/>
          <w:szCs w:val="24"/>
          <w:shd w:val="clear" w:color="auto" w:fill="FFFFFF"/>
          <w:lang w:val="en-GB" w:eastAsia="de-DE"/>
        </w:rPr>
        <w:t>ed here</w:t>
      </w:r>
      <w:r w:rsidR="00472284">
        <w:rPr>
          <w:rFonts w:ascii="Times New Roman" w:eastAsia="Times New Roman" w:hAnsi="Times New Roman" w:cs="Times New Roman"/>
          <w:color w:val="000000"/>
          <w:sz w:val="24"/>
          <w:szCs w:val="24"/>
          <w:shd w:val="clear" w:color="auto" w:fill="FFFFFF"/>
          <w:lang w:val="en-GB" w:eastAsia="de-DE"/>
        </w:rPr>
        <w:t xml:space="preserve"> – as maximization of aggregate consumer welfare through mutual Pareto optimal exchanges.</w:t>
      </w:r>
    </w:p>
    <w:p w14:paraId="3A8A3C6C" w14:textId="0823B896" w:rsidR="004B3326" w:rsidRPr="00497A81" w:rsidRDefault="004B3326" w:rsidP="001547E0">
      <w:pPr>
        <w:spacing w:after="120" w:line="240" w:lineRule="auto"/>
        <w:jc w:val="both"/>
        <w:rPr>
          <w:rFonts w:ascii="Times New Roman" w:eastAsia="Times New Roman" w:hAnsi="Times New Roman" w:cs="Times New Roman"/>
          <w:color w:val="000000"/>
          <w:sz w:val="24"/>
          <w:szCs w:val="24"/>
          <w:shd w:val="clear" w:color="auto" w:fill="FFFFFF"/>
          <w:lang w:val="en-GB" w:eastAsia="de-DE"/>
        </w:rPr>
      </w:pPr>
      <w:r>
        <w:rPr>
          <w:rFonts w:ascii="Times New Roman" w:eastAsia="Times New Roman" w:hAnsi="Times New Roman" w:cs="Times New Roman"/>
          <w:color w:val="000000"/>
          <w:sz w:val="24"/>
          <w:szCs w:val="24"/>
          <w:shd w:val="clear" w:color="auto" w:fill="FFFFFF"/>
          <w:lang w:val="en-GB" w:eastAsia="de-DE"/>
        </w:rPr>
        <w:t>While it is hard to predict where this research will lead us to, we are sure that it is going to be a challenging and controversial long-term project.</w:t>
      </w:r>
    </w:p>
    <w:sectPr w:rsidR="004B3326" w:rsidRPr="00497A8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10C5" w14:textId="77777777" w:rsidR="00335669" w:rsidRDefault="00335669" w:rsidP="006E33C3">
      <w:pPr>
        <w:spacing w:after="0" w:line="240" w:lineRule="auto"/>
      </w:pPr>
      <w:r>
        <w:separator/>
      </w:r>
    </w:p>
  </w:endnote>
  <w:endnote w:type="continuationSeparator" w:id="0">
    <w:p w14:paraId="351ADF3E" w14:textId="77777777" w:rsidR="00335669" w:rsidRDefault="00335669" w:rsidP="006E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3C1CD" w14:textId="77777777" w:rsidR="00335669" w:rsidRDefault="00335669" w:rsidP="006E33C3">
      <w:pPr>
        <w:spacing w:after="0" w:line="240" w:lineRule="auto"/>
      </w:pPr>
      <w:r>
        <w:separator/>
      </w:r>
    </w:p>
  </w:footnote>
  <w:footnote w:type="continuationSeparator" w:id="0">
    <w:p w14:paraId="7097DAF3" w14:textId="77777777" w:rsidR="00335669" w:rsidRDefault="00335669" w:rsidP="006E33C3">
      <w:pPr>
        <w:spacing w:after="0" w:line="240" w:lineRule="auto"/>
      </w:pPr>
      <w:r>
        <w:continuationSeparator/>
      </w:r>
    </w:p>
  </w:footnote>
  <w:footnote w:id="1">
    <w:p w14:paraId="79D07336"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See, for instance, </w:t>
      </w:r>
      <w:r w:rsidRPr="005445BF">
        <w:rPr>
          <w:rFonts w:ascii="Times New Roman" w:hAnsi="Times New Roman" w:cs="Times New Roman"/>
          <w:highlight w:val="green"/>
          <w:lang w:val="en-GB"/>
        </w:rPr>
        <w:t>xxx</w:t>
      </w:r>
      <w:r w:rsidRPr="005445BF">
        <w:rPr>
          <w:rFonts w:ascii="Times New Roman" w:hAnsi="Times New Roman" w:cs="Times New Roman"/>
          <w:lang w:val="en-GB"/>
        </w:rPr>
        <w:t xml:space="preserve">. For broader analyses of causes (ranging from the availability of too much “cheap capital” and failures in banking supervision to corporate governance questions), see </w:t>
      </w:r>
      <w:r w:rsidRPr="005445BF">
        <w:rPr>
          <w:rFonts w:ascii="Times New Roman" w:hAnsi="Times New Roman" w:cs="Times New Roman"/>
          <w:highlight w:val="green"/>
          <w:lang w:val="en-GB"/>
        </w:rPr>
        <w:t>xxx</w:t>
      </w:r>
      <w:r w:rsidRPr="005445BF">
        <w:rPr>
          <w:rFonts w:ascii="Times New Roman" w:hAnsi="Times New Roman" w:cs="Times New Roman"/>
          <w:lang w:val="en-GB"/>
        </w:rPr>
        <w:t>.</w:t>
      </w:r>
    </w:p>
  </w:footnote>
  <w:footnote w:id="2">
    <w:p w14:paraId="4CE0D514"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See, for instance, </w:t>
      </w:r>
      <w:r w:rsidRPr="005445BF">
        <w:rPr>
          <w:rFonts w:ascii="Times New Roman" w:hAnsi="Times New Roman" w:cs="Times New Roman"/>
          <w:highlight w:val="green"/>
          <w:lang w:val="en-GB"/>
        </w:rPr>
        <w:t>xxx</w:t>
      </w:r>
      <w:r w:rsidRPr="005445BF">
        <w:rPr>
          <w:rFonts w:ascii="Times New Roman" w:hAnsi="Times New Roman" w:cs="Times New Roman"/>
          <w:lang w:val="en-GB"/>
        </w:rPr>
        <w:t>; and also references last footnote.</w:t>
      </w:r>
    </w:p>
  </w:footnote>
  <w:footnote w:id="3">
    <w:p w14:paraId="685B40D9" w14:textId="763A562F"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See (reformed) Directive 2008/48/EC of the European Parliament and of the Council of 23 April 2008 on credit agreements for consumers and repealing Council Directive 87/102/EEC, </w:t>
      </w:r>
      <w:r w:rsidRPr="005445BF">
        <w:rPr>
          <w:rFonts w:ascii="Times New Roman" w:hAnsi="Times New Roman" w:cs="Times New Roman"/>
          <w:i/>
          <w:lang w:val="en-GB"/>
        </w:rPr>
        <w:t xml:space="preserve">OJEC </w:t>
      </w:r>
      <w:r w:rsidRPr="005445BF">
        <w:rPr>
          <w:rFonts w:ascii="Times New Roman" w:hAnsi="Times New Roman" w:cs="Times New Roman"/>
          <w:lang w:val="en-GB"/>
        </w:rPr>
        <w:t xml:space="preserve">2008 L 133/66; this directive (as the one of 1987 – exempted mortgage backed loans which only have been covered by: Directive 2014/17/EU of the European Parliament and of the Council of 4 February 2014 </w:t>
      </w:r>
      <w:r w:rsidRPr="005445BF">
        <w:rPr>
          <w:rStyle w:val="Enfasigrassetto"/>
          <w:rFonts w:ascii="Times New Roman" w:hAnsi="Times New Roman" w:cs="Times New Roman"/>
          <w:b w:val="0"/>
        </w:rPr>
        <w:t>on credit agreements for consumers relating to residential immovable property and amending Directives 2008/48/EC and 2013/36/EU and Regulation (EU) No 1093/2010</w:t>
      </w:r>
      <w:r w:rsidRPr="005445BF">
        <w:rPr>
          <w:rFonts w:ascii="Times New Roman" w:hAnsi="Times New Roman" w:cs="Times New Roman"/>
          <w:lang w:val="en-GB"/>
        </w:rPr>
        <w:t xml:space="preserve">, </w:t>
      </w:r>
      <w:r w:rsidRPr="005445BF">
        <w:rPr>
          <w:rFonts w:ascii="Times New Roman" w:hAnsi="Times New Roman" w:cs="Times New Roman"/>
          <w:i/>
          <w:lang w:val="en-GB"/>
        </w:rPr>
        <w:t>OJEC</w:t>
      </w:r>
      <w:r w:rsidRPr="005445BF">
        <w:rPr>
          <w:rFonts w:ascii="Times New Roman" w:hAnsi="Times New Roman" w:cs="Times New Roman"/>
          <w:lang w:val="en-GB"/>
        </w:rPr>
        <w:t xml:space="preserve"> 2014 L 60/34, and only in the latter directive, a clear rule on the duty of responsible lending can be found – in Art. 18 para. 5 lit. a; see also Art. 7; for the duty of responsible lending see below section VI. </w:t>
      </w:r>
    </w:p>
  </w:footnote>
  <w:footnote w:id="4">
    <w:p w14:paraId="0FD3A3D8"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w:t>
      </w:r>
      <w:r w:rsidRPr="005445BF">
        <w:rPr>
          <w:rFonts w:ascii="Times New Roman" w:hAnsi="Times New Roman" w:cs="Times New Roman"/>
          <w:spacing w:val="-6"/>
          <w:lang w:val="en-GB"/>
        </w:rPr>
        <w:t xml:space="preserve">Directive 2004/39/EC of the European Parliament and of the Council of 21 April 2004 on markets in financial instruments amending Council Directives 85/611/EEC and 93/6/EEC and Directive 2000/12/EC of the European Parliament and of the Council and repealing Council Directive 93/22/EEC [MiFID], </w:t>
      </w:r>
      <w:r w:rsidRPr="005445BF">
        <w:rPr>
          <w:rFonts w:ascii="Times New Roman" w:hAnsi="Times New Roman" w:cs="Times New Roman"/>
          <w:i/>
          <w:spacing w:val="-6"/>
          <w:lang w:val="en-GB"/>
        </w:rPr>
        <w:t>OJEC</w:t>
      </w:r>
      <w:r w:rsidRPr="005445BF">
        <w:rPr>
          <w:rFonts w:ascii="Times New Roman" w:hAnsi="Times New Roman" w:cs="Times New Roman"/>
          <w:spacing w:val="-6"/>
          <w:lang w:val="en-GB"/>
        </w:rPr>
        <w:t xml:space="preserve"> </w:t>
      </w:r>
      <w:r w:rsidRPr="005445BF">
        <w:rPr>
          <w:rFonts w:ascii="Times New Roman" w:hAnsi="Times New Roman" w:cs="Times New Roman"/>
          <w:lang w:val="en-GB"/>
        </w:rPr>
        <w:t xml:space="preserve">2004 L 145/1; now Directive 2014/65/EU </w:t>
      </w:r>
      <w:r w:rsidRPr="005445BF">
        <w:rPr>
          <w:rFonts w:ascii="Times New Roman" w:hAnsi="Times New Roman" w:cs="Times New Roman"/>
          <w:spacing w:val="-6"/>
          <w:lang w:val="en-GB"/>
        </w:rPr>
        <w:t xml:space="preserve">of the European Parliament and of the Council </w:t>
      </w:r>
      <w:r w:rsidRPr="005445BF">
        <w:rPr>
          <w:rFonts w:ascii="Times New Roman" w:hAnsi="Times New Roman" w:cs="Times New Roman"/>
          <w:lang w:val="en-GB"/>
        </w:rPr>
        <w:t xml:space="preserve">of 15 May 2014 on markets in financial instruments and amending Directive 2002/92/EC and Directive 2011/61/EU [MiFID II], </w:t>
      </w:r>
      <w:r w:rsidRPr="005445BF">
        <w:rPr>
          <w:rFonts w:ascii="Times New Roman" w:hAnsi="Times New Roman" w:cs="Times New Roman"/>
          <w:i/>
          <w:spacing w:val="-6"/>
          <w:lang w:val="en-GB"/>
        </w:rPr>
        <w:t>OJEU</w:t>
      </w:r>
      <w:r w:rsidRPr="005445BF">
        <w:rPr>
          <w:rFonts w:ascii="Times New Roman" w:hAnsi="Times New Roman" w:cs="Times New Roman"/>
          <w:spacing w:val="-6"/>
          <w:lang w:val="en-GB"/>
        </w:rPr>
        <w:t xml:space="preserve"> </w:t>
      </w:r>
      <w:r w:rsidRPr="005445BF">
        <w:rPr>
          <w:rFonts w:ascii="Times New Roman" w:hAnsi="Times New Roman" w:cs="Times New Roman"/>
          <w:lang w:val="en-GB"/>
        </w:rPr>
        <w:t xml:space="preserve">2014 L 173/349; and Regulation (EU) No 600/2014 </w:t>
      </w:r>
      <w:r w:rsidRPr="005445BF">
        <w:rPr>
          <w:rFonts w:ascii="Times New Roman" w:hAnsi="Times New Roman" w:cs="Times New Roman"/>
          <w:spacing w:val="-6"/>
          <w:lang w:val="en-GB"/>
        </w:rPr>
        <w:t xml:space="preserve">of the European Parliament and of the Council </w:t>
      </w:r>
      <w:r w:rsidRPr="005445BF">
        <w:rPr>
          <w:rFonts w:ascii="Times New Roman" w:hAnsi="Times New Roman" w:cs="Times New Roman"/>
          <w:lang w:val="en-GB"/>
        </w:rPr>
        <w:t xml:space="preserve">of 15 May 2014 on markets in financial instruments and amending Regulation (EU) No 648/2012, </w:t>
      </w:r>
      <w:r w:rsidRPr="005445BF">
        <w:rPr>
          <w:rFonts w:ascii="Times New Roman" w:hAnsi="Times New Roman" w:cs="Times New Roman"/>
          <w:i/>
          <w:spacing w:val="-6"/>
          <w:lang w:val="en-GB"/>
        </w:rPr>
        <w:t>OJEU</w:t>
      </w:r>
      <w:r w:rsidRPr="005445BF">
        <w:rPr>
          <w:rFonts w:ascii="Times New Roman" w:hAnsi="Times New Roman" w:cs="Times New Roman"/>
          <w:lang w:val="en-GB"/>
        </w:rPr>
        <w:t xml:space="preserve"> 2014 L 173/84; for product governance see below section IV.</w:t>
      </w:r>
    </w:p>
  </w:footnote>
  <w:footnote w:id="5">
    <w:p w14:paraId="4541553C" w14:textId="3E0A0441" w:rsidR="007833EF" w:rsidRPr="005445BF" w:rsidRDefault="007833EF" w:rsidP="005445BF">
      <w:pPr>
        <w:widowControl w:val="0"/>
        <w:tabs>
          <w:tab w:val="left" w:pos="220"/>
          <w:tab w:val="left" w:pos="720"/>
        </w:tabs>
        <w:autoSpaceDE w:val="0"/>
        <w:autoSpaceDN w:val="0"/>
        <w:adjustRightInd w:val="0"/>
        <w:spacing w:after="0" w:line="240" w:lineRule="auto"/>
        <w:jc w:val="both"/>
        <w:rPr>
          <w:rFonts w:ascii="Times New Roman" w:eastAsia="Calibri" w:hAnsi="Times New Roman" w:cs="Times New Roman"/>
          <w:sz w:val="20"/>
          <w:szCs w:val="20"/>
          <w:lang w:val="en-GB"/>
        </w:rPr>
      </w:pPr>
      <w:r w:rsidRPr="005445BF">
        <w:rPr>
          <w:rStyle w:val="Rimandonotaapidipagina"/>
          <w:rFonts w:ascii="Times New Roman" w:hAnsi="Times New Roman" w:cs="Times New Roman"/>
          <w:sz w:val="20"/>
          <w:szCs w:val="20"/>
          <w:lang w:val="en-GB"/>
        </w:rPr>
        <w:footnoteRef/>
      </w:r>
      <w:r w:rsidRPr="005445BF">
        <w:rPr>
          <w:rFonts w:ascii="Times New Roman" w:hAnsi="Times New Roman" w:cs="Times New Roman"/>
          <w:sz w:val="20"/>
          <w:szCs w:val="20"/>
          <w:lang w:val="en-GB"/>
        </w:rPr>
        <w:t xml:space="preserve"> For the MiFID II reform, see, for instance, Busch and Ferrarini (2016), and also below note </w:t>
      </w:r>
      <w:r w:rsidRPr="005445BF">
        <w:rPr>
          <w:rFonts w:ascii="Times New Roman" w:hAnsi="Times New Roman" w:cs="Times New Roman"/>
          <w:sz w:val="20"/>
          <w:szCs w:val="20"/>
          <w:highlight w:val="yellow"/>
          <w:lang w:val="en-GB"/>
        </w:rPr>
        <w:t>xx.</w:t>
      </w:r>
    </w:p>
  </w:footnote>
  <w:footnote w:id="6">
    <w:p w14:paraId="766FA860"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This is an idea dear namely to German doctrinal thinking (but not limited to it) where many examples could be given, but perhaps two very prominent ones should be sufficient: Claus-Wilhelm Canaris has written in the most prestigious large commentary – the so-called Staub’scher Großkommentar – his treatise on banking contract law (</w:t>
      </w:r>
      <w:r w:rsidRPr="005445BF">
        <w:rPr>
          <w:rFonts w:ascii="Times New Roman" w:hAnsi="Times New Roman" w:cs="Times New Roman"/>
          <w:highlight w:val="green"/>
          <w:lang w:val="en-GB"/>
        </w:rPr>
        <w:t>xxxx</w:t>
      </w:r>
      <w:r w:rsidRPr="005445BF">
        <w:rPr>
          <w:rFonts w:ascii="Times New Roman" w:hAnsi="Times New Roman" w:cs="Times New Roman"/>
          <w:lang w:val="en-GB"/>
        </w:rPr>
        <w:t xml:space="preserve">) and in this treatise, as the very first to do so, he describes the relevant types of contracts truly from ‘naissance to death’, from the pre-contractual phase to the treatment in insolvency, thus for the first time giving a full picture of all law related to contracts, here banking contracts. A second instance, where banking contract law opened a completely new chapter for contract law, is network of contracts, first described for payment systems: see W. Möschel, </w:t>
      </w:r>
      <w:r w:rsidRPr="005445BF">
        <w:rPr>
          <w:rFonts w:ascii="Times New Roman" w:hAnsi="Times New Roman" w:cs="Times New Roman"/>
          <w:highlight w:val="green"/>
          <w:lang w:val="en-GB"/>
        </w:rPr>
        <w:t>xxx</w:t>
      </w:r>
      <w:r w:rsidRPr="005445BF">
        <w:rPr>
          <w:rFonts w:ascii="Times New Roman" w:hAnsi="Times New Roman" w:cs="Times New Roman"/>
          <w:lang w:val="en-GB"/>
        </w:rPr>
        <w:t xml:space="preserve">. For today’s picture (where banking law is still the motor of private law in many other respects), see (in the new edition of the Staub’scher Großkommentar): S. Grundmann, </w:t>
      </w:r>
      <w:r w:rsidRPr="005445BF">
        <w:rPr>
          <w:rFonts w:ascii="Times New Roman" w:hAnsi="Times New Roman" w:cs="Times New Roman"/>
          <w:highlight w:val="green"/>
          <w:lang w:val="en-GB"/>
        </w:rPr>
        <w:t>xxxx</w:t>
      </w:r>
      <w:r w:rsidRPr="005445BF">
        <w:rPr>
          <w:rFonts w:ascii="Times New Roman" w:hAnsi="Times New Roman" w:cs="Times New Roman"/>
          <w:lang w:val="en-GB"/>
        </w:rPr>
        <w:t>.</w:t>
      </w:r>
    </w:p>
  </w:footnote>
  <w:footnote w:id="7">
    <w:p w14:paraId="349B52F4" w14:textId="0618975E"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On this topic, see the comprehensive collection of essays in </w:t>
      </w:r>
      <w:r w:rsidRPr="005445BF">
        <w:rPr>
          <w:rFonts w:ascii="Times New Roman" w:hAnsi="Times New Roman" w:cs="Times New Roman"/>
          <w:iCs/>
          <w:lang w:val="en-GB"/>
        </w:rPr>
        <w:t>Leczykiewicz and Weatherill (2016).</w:t>
      </w:r>
    </w:p>
  </w:footnote>
  <w:footnote w:id="8">
    <w:p w14:paraId="45CA19A8" w14:textId="0CBA77D4"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For a survey, see Esposito (forthcoming: chapter 2). </w:t>
      </w:r>
    </w:p>
  </w:footnote>
  <w:footnote w:id="9">
    <w:p w14:paraId="15EA3AB9" w14:textId="2DAACED8"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We consider the present research an example of Law and Economics, as recently defined by Guido Calabresi and contrasted by the author to Economic Analysis of Law. </w:t>
      </w:r>
      <w:r w:rsidR="00DB464B">
        <w:rPr>
          <w:rFonts w:ascii="Times New Roman" w:hAnsi="Times New Roman" w:cs="Times New Roman"/>
          <w:lang w:val="it-IT"/>
        </w:rPr>
        <w:t>See below, section VII.</w:t>
      </w:r>
    </w:p>
  </w:footnote>
  <w:footnote w:id="10">
    <w:p w14:paraId="5CF198F6" w14:textId="7541C626"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For example, </w:t>
      </w:r>
      <w:r w:rsidRPr="005445BF">
        <w:rPr>
          <w:rFonts w:ascii="Times New Roman" w:hAnsi="Times New Roman" w:cs="Times New Roman"/>
          <w:lang w:val="it-IT"/>
        </w:rPr>
        <w:t>Reich (2009: 6-8).</w:t>
      </w:r>
    </w:p>
  </w:footnote>
  <w:footnote w:id="11">
    <w:p w14:paraId="2FA42FCC" w14:textId="3B792FBF"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For a more detailed discussion of the disagreement, see below, section II.2 lett a) and, more extensively, Esposito (2016).</w:t>
      </w:r>
    </w:p>
  </w:footnote>
  <w:footnote w:id="12">
    <w:p w14:paraId="754712A7"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See, below, Section III-V.</w:t>
      </w:r>
    </w:p>
  </w:footnote>
  <w:footnote w:id="13">
    <w:p w14:paraId="42A37B97" w14:textId="166715FF"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Esposito (forthcoming b: chapters 1-3) an earlier version of the argumen</w:t>
      </w:r>
      <w:r>
        <w:rPr>
          <w:rFonts w:ascii="Times New Roman" w:hAnsi="Times New Roman" w:cs="Times New Roman"/>
          <w:lang w:val="en-GB"/>
        </w:rPr>
        <w:t>t can be found in Esposito (2013</w:t>
      </w:r>
      <w:r w:rsidRPr="005445BF">
        <w:rPr>
          <w:rFonts w:ascii="Times New Roman" w:hAnsi="Times New Roman" w:cs="Times New Roman"/>
          <w:lang w:val="en-GB"/>
        </w:rPr>
        <w:t xml:space="preserve">: 160-162). </w:t>
      </w:r>
    </w:p>
  </w:footnote>
  <w:footnote w:id="14">
    <w:p w14:paraId="057C55E4"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w:t>
      </w:r>
      <w:r w:rsidRPr="005445BF">
        <w:rPr>
          <w:rFonts w:ascii="Times New Roman" w:hAnsi="Times New Roman" w:cs="Times New Roman"/>
          <w:highlight w:val="green"/>
          <w:lang w:val="en-GB"/>
        </w:rPr>
        <w:t>Xxx</w:t>
      </w:r>
      <w:r w:rsidRPr="005445BF">
        <w:rPr>
          <w:rFonts w:ascii="Times New Roman" w:hAnsi="Times New Roman" w:cs="Times New Roman"/>
          <w:lang w:val="en-GB"/>
        </w:rPr>
        <w:t>.</w:t>
      </w:r>
    </w:p>
  </w:footnote>
  <w:footnote w:id="15">
    <w:p w14:paraId="0C38E7B3" w14:textId="46B2C38C"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See below section V.</w:t>
      </w:r>
    </w:p>
  </w:footnote>
  <w:footnote w:id="16">
    <w:p w14:paraId="0DF7B844"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For this consideration, see more extensively (with examples): S. Grundmann </w:t>
      </w:r>
      <w:r w:rsidRPr="005445BF">
        <w:rPr>
          <w:rFonts w:ascii="Times New Roman" w:hAnsi="Times New Roman" w:cs="Times New Roman"/>
          <w:highlight w:val="green"/>
          <w:lang w:val="en-GB"/>
        </w:rPr>
        <w:t>xxxx</w:t>
      </w:r>
      <w:r w:rsidRPr="005445BF">
        <w:rPr>
          <w:rFonts w:ascii="Times New Roman" w:hAnsi="Times New Roman" w:cs="Times New Roman"/>
          <w:lang w:val="en-GB"/>
        </w:rPr>
        <w:t>.</w:t>
      </w:r>
    </w:p>
  </w:footnote>
  <w:footnote w:id="17">
    <w:p w14:paraId="7364B129" w14:textId="10E78EC6"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Typically, the entrepreneur in financial services is a corporation, embodied by its directors according to company law. On decision making procedures in European company law, see: Davies </w:t>
      </w:r>
      <w:r w:rsidRPr="005445BF">
        <w:rPr>
          <w:rFonts w:ascii="Times New Roman" w:hAnsi="Times New Roman" w:cs="Times New Roman"/>
          <w:i/>
          <w:lang w:val="en-GB"/>
        </w:rPr>
        <w:t xml:space="preserve">et al. </w:t>
      </w:r>
      <w:r w:rsidRPr="005445BF">
        <w:rPr>
          <w:rFonts w:ascii="Times New Roman" w:hAnsi="Times New Roman" w:cs="Times New Roman"/>
          <w:lang w:val="en-GB"/>
        </w:rPr>
        <w:t xml:space="preserve">(2013); Grundmann (with the partial contribution of Falko) (2012: 247-275); Dorresteijn </w:t>
      </w:r>
      <w:r w:rsidRPr="005445BF">
        <w:rPr>
          <w:rFonts w:ascii="Times New Roman" w:hAnsi="Times New Roman" w:cs="Times New Roman"/>
          <w:i/>
          <w:lang w:val="en-GB"/>
        </w:rPr>
        <w:t>et al.</w:t>
      </w:r>
      <w:r w:rsidRPr="005445BF">
        <w:rPr>
          <w:rFonts w:ascii="Times New Roman" w:hAnsi="Times New Roman" w:cs="Times New Roman"/>
          <w:lang w:val="en-GB"/>
        </w:rPr>
        <w:t xml:space="preserve"> (2009:157-202).</w:t>
      </w:r>
    </w:p>
  </w:footnote>
  <w:footnote w:id="18">
    <w:p w14:paraId="78ED7564"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It is one of the core understandings of general corporate governance debate that internal and external corporate governance are not mutually excluding each other or independent from each other, but that their combination and the optimization of such combination are core aims of good corporate governance. See, for instance, </w:t>
      </w:r>
      <w:r w:rsidRPr="005445BF">
        <w:rPr>
          <w:rFonts w:ascii="Times New Roman" w:hAnsi="Times New Roman" w:cs="Times New Roman"/>
          <w:highlight w:val="green"/>
          <w:lang w:val="en-GB"/>
        </w:rPr>
        <w:t>xxx</w:t>
      </w:r>
      <w:r w:rsidRPr="005445BF">
        <w:rPr>
          <w:rFonts w:ascii="Times New Roman" w:hAnsi="Times New Roman" w:cs="Times New Roman"/>
          <w:lang w:val="en-GB"/>
        </w:rPr>
        <w:t>.</w:t>
      </w:r>
    </w:p>
  </w:footnote>
  <w:footnote w:id="19">
    <w:p w14:paraId="48BD7523"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For this role of the investment contract and of takeovers (as mass dis-investment and re-investment), see, for instance </w:t>
      </w:r>
      <w:r w:rsidRPr="005445BF">
        <w:rPr>
          <w:rFonts w:ascii="Times New Roman" w:hAnsi="Times New Roman" w:cs="Times New Roman"/>
          <w:highlight w:val="green"/>
          <w:lang w:val="en-GB"/>
        </w:rPr>
        <w:t>xxx</w:t>
      </w:r>
      <w:r w:rsidRPr="005445BF">
        <w:rPr>
          <w:rFonts w:ascii="Times New Roman" w:hAnsi="Times New Roman" w:cs="Times New Roman"/>
          <w:lang w:val="en-GB"/>
        </w:rPr>
        <w:t>.</w:t>
      </w:r>
    </w:p>
  </w:footnote>
  <w:footnote w:id="20">
    <w:p w14:paraId="2743AAA4" w14:textId="6A99E752"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Manne (1965: 113).</w:t>
      </w:r>
    </w:p>
  </w:footnote>
  <w:footnote w:id="21">
    <w:p w14:paraId="6BBFFC54" w14:textId="403705CF"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Mainstream market analysis adopts a specific unit of measure of welfare – surplus - introduced by Alfred Marshall and defined as “(t)he excess of the price which [the consumer] would be willing to pay rather than go without the thing, over that which he actually does pay, is the economic measure of this surplus satisfaction. It may be called </w:t>
      </w:r>
      <w:r w:rsidRPr="005445BF">
        <w:rPr>
          <w:rFonts w:ascii="Times New Roman" w:hAnsi="Times New Roman" w:cs="Times New Roman"/>
          <w:i/>
          <w:lang w:val="en-GB"/>
        </w:rPr>
        <w:t>consumer’s surplus</w:t>
      </w:r>
      <w:r w:rsidRPr="005445BF">
        <w:rPr>
          <w:rFonts w:ascii="Times New Roman" w:hAnsi="Times New Roman" w:cs="Times New Roman"/>
          <w:lang w:val="en-GB"/>
        </w:rPr>
        <w:t>” (Marshall 2013 (1920): 103). The surplus maximization claim is expressed in canonical formula as follows: “</w:t>
      </w:r>
      <w:r w:rsidRPr="005445BF">
        <w:rPr>
          <w:rFonts w:ascii="Times New Roman" w:eastAsia="Droid Sans Fallback" w:hAnsi="Times New Roman" w:cs="Times New Roman"/>
          <w:lang w:val="en-GB" w:eastAsia="zh-CN"/>
        </w:rPr>
        <w:t>In</w:t>
      </w:r>
      <w:r w:rsidRPr="005445BF">
        <w:rPr>
          <w:rFonts w:ascii="Times New Roman" w:eastAsia="SimSun" w:hAnsi="Times New Roman" w:cs="Times New Roman"/>
          <w:iCs/>
          <w:lang w:val="en-GB" w:eastAsia="zh-CN"/>
        </w:rPr>
        <w:t xml:space="preserve"> comparison with the competitive outcome, monopoly involves a transfer from consumers to suppliers. But the efficiency loss consists solely of the reduction in Consumer and Producer Surplus that are due to the lessened volume of trade“ Hirschlifer (1976: </w:t>
      </w:r>
      <w:r w:rsidRPr="005445BF">
        <w:rPr>
          <w:rFonts w:ascii="Times New Roman" w:hAnsi="Times New Roman" w:cs="Times New Roman"/>
          <w:lang w:val="en-GB"/>
        </w:rPr>
        <w:t>287). Besides its insensitivity to distribution of welfare between the parties of the exchange, this analysis suffers of two main limitations. First, surplus is an indirect measure of the intensity of preference. Thus, if the consumption choice is uninformed or not fully rational, surplus is an unreliable measure of welfare. Second, surplus measurement suffers from the wealth effect: the preferences of the rich count more than the ones of the poor.</w:t>
      </w:r>
    </w:p>
  </w:footnote>
  <w:footnote w:id="22">
    <w:p w14:paraId="05C72D3F" w14:textId="544551AE"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Seminal to this regard is Kaplow and Shavell (</w:t>
      </w:r>
      <w:r>
        <w:rPr>
          <w:rFonts w:ascii="Times New Roman" w:hAnsi="Times New Roman" w:cs="Times New Roman"/>
          <w:lang w:val="en-GB"/>
        </w:rPr>
        <w:t>1994</w:t>
      </w:r>
      <w:r w:rsidRPr="005445BF">
        <w:rPr>
          <w:rFonts w:ascii="Times New Roman" w:hAnsi="Times New Roman" w:cs="Times New Roman"/>
          <w:lang w:val="en-GB"/>
        </w:rPr>
        <w:t>); see also Kaplow (2008) and the critical discussions in Jolls (1998), Adler (2012: 560-567) and Calabresi (2016: especially 74-77). A major problem, that cannot be discussed here, is that while Kaplow and Shavell’s argument is only about the redistribution of income, it is often taken to relate to the distribution of wealth more generally.</w:t>
      </w:r>
    </w:p>
  </w:footnote>
  <w:footnote w:id="23">
    <w:p w14:paraId="7737A927" w14:textId="00377630"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Epstein (2013: 219).</w:t>
      </w:r>
    </w:p>
  </w:footnote>
  <w:footnote w:id="24">
    <w:p w14:paraId="69F610C5" w14:textId="04D6FF31" w:rsidR="007833EF" w:rsidRPr="005445BF" w:rsidRDefault="007833EF" w:rsidP="005445BF">
      <w:pPr>
        <w:widowControl w:val="0"/>
        <w:autoSpaceDE w:val="0"/>
        <w:autoSpaceDN w:val="0"/>
        <w:adjustRightInd w:val="0"/>
        <w:spacing w:after="0" w:line="240" w:lineRule="auto"/>
        <w:jc w:val="both"/>
        <w:rPr>
          <w:rFonts w:ascii="Times New Roman" w:hAnsi="Times New Roman" w:cs="Times New Roman"/>
          <w:sz w:val="20"/>
          <w:szCs w:val="20"/>
          <w:lang w:val="en-GB"/>
        </w:rPr>
      </w:pPr>
      <w:r w:rsidRPr="005445BF">
        <w:rPr>
          <w:rStyle w:val="Rimandonotaapidipagina"/>
          <w:rFonts w:ascii="Times New Roman" w:hAnsi="Times New Roman" w:cs="Times New Roman"/>
          <w:sz w:val="20"/>
          <w:szCs w:val="20"/>
          <w:lang w:val="en-GB"/>
        </w:rPr>
        <w:footnoteRef/>
      </w:r>
      <w:r w:rsidRPr="005445BF">
        <w:rPr>
          <w:rFonts w:ascii="Times New Roman" w:hAnsi="Times New Roman" w:cs="Times New Roman"/>
          <w:sz w:val="20"/>
          <w:szCs w:val="20"/>
          <w:lang w:val="en-GB"/>
        </w:rPr>
        <w:t xml:space="preserve"> Berle and Means (1991 (1932): 287); for both Manne (1963) and Berle and Means (1932), the context and later developments of </w:t>
      </w:r>
      <w:r>
        <w:rPr>
          <w:rFonts w:ascii="Times New Roman" w:hAnsi="Times New Roman" w:cs="Times New Roman"/>
          <w:sz w:val="20"/>
          <w:szCs w:val="20"/>
          <w:lang w:val="en-GB"/>
        </w:rPr>
        <w:t>their theories, see Grundmann (</w:t>
      </w:r>
      <w:r w:rsidRPr="005445BF">
        <w:rPr>
          <w:rFonts w:ascii="Times New Roman" w:hAnsi="Times New Roman" w:cs="Times New Roman"/>
          <w:sz w:val="20"/>
          <w:szCs w:val="20"/>
          <w:lang w:val="en-GB"/>
        </w:rPr>
        <w:t xml:space="preserve">2015: </w:t>
      </w:r>
      <w:r w:rsidRPr="005445BF">
        <w:rPr>
          <w:rFonts w:ascii="Times New Roman" w:hAnsi="Times New Roman" w:cs="Times New Roman"/>
          <w:sz w:val="20"/>
          <w:szCs w:val="20"/>
          <w:highlight w:val="green"/>
          <w:lang w:val="en-GB"/>
        </w:rPr>
        <w:t>xxx</w:t>
      </w:r>
      <w:r w:rsidRPr="005445BF">
        <w:rPr>
          <w:rFonts w:ascii="Times New Roman" w:hAnsi="Times New Roman" w:cs="Times New Roman"/>
          <w:sz w:val="20"/>
          <w:szCs w:val="20"/>
          <w:lang w:val="en-GB"/>
        </w:rPr>
        <w:t xml:space="preserve"> et seqq. and </w:t>
      </w:r>
      <w:r w:rsidRPr="005445BF">
        <w:rPr>
          <w:rFonts w:ascii="Times New Roman" w:hAnsi="Times New Roman" w:cs="Times New Roman"/>
          <w:sz w:val="20"/>
          <w:szCs w:val="20"/>
          <w:highlight w:val="green"/>
          <w:lang w:val="en-GB"/>
        </w:rPr>
        <w:t>xxx</w:t>
      </w:r>
      <w:r w:rsidRPr="005445BF">
        <w:rPr>
          <w:rFonts w:ascii="Times New Roman" w:hAnsi="Times New Roman" w:cs="Times New Roman"/>
          <w:sz w:val="20"/>
          <w:szCs w:val="20"/>
          <w:lang w:val="en-GB"/>
        </w:rPr>
        <w:t xml:space="preserve"> et seqq., forthcoming also in English).</w:t>
      </w:r>
    </w:p>
  </w:footnote>
  <w:footnote w:id="25">
    <w:p w14:paraId="1FEE4271"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w:t>
      </w:r>
      <w:r w:rsidRPr="005445BF">
        <w:rPr>
          <w:rFonts w:ascii="Times New Roman" w:hAnsi="Times New Roman" w:cs="Times New Roman"/>
          <w:highlight w:val="green"/>
          <w:lang w:val="en-GB"/>
        </w:rPr>
        <w:t>Xxx</w:t>
      </w:r>
      <w:r w:rsidRPr="005445BF">
        <w:rPr>
          <w:rFonts w:ascii="Times New Roman" w:hAnsi="Times New Roman" w:cs="Times New Roman"/>
          <w:lang w:val="en-GB"/>
        </w:rPr>
        <w:t>.</w:t>
      </w:r>
    </w:p>
  </w:footnote>
  <w:footnote w:id="26">
    <w:p w14:paraId="1277999C" w14:textId="755C5943" w:rsidR="007833EF" w:rsidRPr="005445BF" w:rsidRDefault="007833EF" w:rsidP="005445BF">
      <w:pPr>
        <w:widowControl w:val="0"/>
        <w:autoSpaceDE w:val="0"/>
        <w:autoSpaceDN w:val="0"/>
        <w:adjustRightInd w:val="0"/>
        <w:spacing w:after="0" w:line="240" w:lineRule="auto"/>
        <w:jc w:val="both"/>
        <w:rPr>
          <w:rFonts w:ascii="Times New Roman" w:hAnsi="Times New Roman" w:cs="Times New Roman"/>
          <w:sz w:val="20"/>
          <w:szCs w:val="20"/>
          <w:lang w:val="en-GB"/>
        </w:rPr>
      </w:pPr>
      <w:r w:rsidRPr="005445BF">
        <w:rPr>
          <w:rStyle w:val="Rimandonotaapidipagina"/>
          <w:rFonts w:ascii="Times New Roman" w:hAnsi="Times New Roman" w:cs="Times New Roman"/>
          <w:sz w:val="20"/>
          <w:szCs w:val="20"/>
          <w:lang w:val="en-GB"/>
        </w:rPr>
        <w:footnoteRef/>
      </w:r>
      <w:r w:rsidRPr="005445BF">
        <w:rPr>
          <w:rFonts w:ascii="Times New Roman" w:hAnsi="Times New Roman" w:cs="Times New Roman"/>
          <w:sz w:val="20"/>
          <w:szCs w:val="20"/>
          <w:lang w:val="en-GB"/>
        </w:rPr>
        <w:t xml:space="preserve"> From legal doctrinal theory: Grundmann (2010: 1071); from economic theory, path breaking Jensen and Meckling</w:t>
      </w:r>
      <w:r w:rsidRPr="005445BF">
        <w:rPr>
          <w:rFonts w:ascii="Times New Roman" w:hAnsi="Times New Roman" w:cs="Times New Roman"/>
          <w:i/>
          <w:sz w:val="20"/>
          <w:szCs w:val="20"/>
          <w:lang w:val="en-GB"/>
        </w:rPr>
        <w:t>,</w:t>
      </w:r>
      <w:r w:rsidRPr="005445BF">
        <w:rPr>
          <w:rFonts w:ascii="Times New Roman" w:hAnsi="Times New Roman" w:cs="Times New Roman"/>
          <w:sz w:val="20"/>
          <w:szCs w:val="20"/>
          <w:lang w:val="en-GB"/>
        </w:rPr>
        <w:t xml:space="preserve"> (1976) and Alchian and Demsetz, (1972: 782 et seqq.) and also Berle and Means (1991 (1932): 112-116); for a recent discussion, see Buchanan, Heesang Chai and Deakin (2012: 40-61); for the development of principal agent theory and namely the context of the paper written by Jensen and Meckling, see Grundmann (2015: </w:t>
      </w:r>
      <w:r w:rsidRPr="005445BF">
        <w:rPr>
          <w:rFonts w:ascii="Times New Roman" w:hAnsi="Times New Roman" w:cs="Times New Roman"/>
          <w:sz w:val="20"/>
          <w:szCs w:val="20"/>
          <w:highlight w:val="green"/>
          <w:lang w:val="en-GB"/>
        </w:rPr>
        <w:t>xxx</w:t>
      </w:r>
      <w:r w:rsidRPr="005445BF">
        <w:rPr>
          <w:rFonts w:ascii="Times New Roman" w:hAnsi="Times New Roman" w:cs="Times New Roman"/>
          <w:sz w:val="20"/>
          <w:szCs w:val="20"/>
          <w:lang w:val="en-GB"/>
        </w:rPr>
        <w:t xml:space="preserve"> et seqq., forthcoming also in English).</w:t>
      </w:r>
    </w:p>
  </w:footnote>
  <w:footnote w:id="27">
    <w:p w14:paraId="69F4B5B2" w14:textId="4E0F097E"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Indeed, the case is only preliminary because regulatory costs have to be taken into account.</w:t>
      </w:r>
    </w:p>
  </w:footnote>
  <w:footnote w:id="28">
    <w:p w14:paraId="2271B57F" w14:textId="4DC7D7A5"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Parisi (2013: 61).</w:t>
      </w:r>
    </w:p>
  </w:footnote>
  <w:footnote w:id="29">
    <w:p w14:paraId="0244260C" w14:textId="1F5DD5A5"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t>
      </w:r>
      <w:r w:rsidRPr="005445BF">
        <w:rPr>
          <w:rFonts w:ascii="Times New Roman" w:hAnsi="Times New Roman" w:cs="Times New Roman"/>
          <w:lang w:val="it-IT"/>
        </w:rPr>
        <w:t>Mises (1996 (1963): 269-273);</w:t>
      </w:r>
      <w:r w:rsidRPr="005445BF">
        <w:rPr>
          <w:rFonts w:ascii="Times New Roman" w:hAnsi="Times New Roman" w:cs="Times New Roman"/>
        </w:rPr>
        <w:t xml:space="preserve"> Hayek (2013 (1948): 109; </w:t>
      </w:r>
      <w:r w:rsidRPr="005445BF">
        <w:rPr>
          <w:rFonts w:ascii="Times New Roman" w:hAnsi="Times New Roman" w:cs="Times New Roman"/>
          <w:lang w:val="it-IT"/>
        </w:rPr>
        <w:t>1933: 214-217.</w:t>
      </w:r>
    </w:p>
  </w:footnote>
  <w:footnote w:id="30">
    <w:p w14:paraId="76AFCA6E" w14:textId="06BA4255"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The critique is build on the libertarian argument made by </w:t>
      </w:r>
      <w:r w:rsidRPr="005445BF">
        <w:rPr>
          <w:rFonts w:ascii="Times New Roman" w:hAnsi="Times New Roman" w:cs="Times New Roman"/>
        </w:rPr>
        <w:t>Rothbard (2004 (1973): 629-639)</w:t>
      </w:r>
      <w:r w:rsidRPr="005445BF">
        <w:rPr>
          <w:rFonts w:ascii="Times New Roman" w:hAnsi="Times New Roman" w:cs="Times New Roman"/>
          <w:lang w:val="en-US"/>
        </w:rPr>
        <w:t>.</w:t>
      </w:r>
    </w:p>
  </w:footnote>
  <w:footnote w:id="31">
    <w:p w14:paraId="114C9DC3" w14:textId="7D40D3F6" w:rsidR="007833EF" w:rsidRPr="005445BF" w:rsidRDefault="007833EF" w:rsidP="005445BF">
      <w:pPr>
        <w:pStyle w:val="Testonotaapidipagina"/>
        <w:mirrorIndents/>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Hutt (1940: 2): </w:t>
      </w:r>
      <w:r w:rsidRPr="005445BF">
        <w:rPr>
          <w:rFonts w:ascii="Times New Roman" w:eastAsia="SimSun" w:hAnsi="Times New Roman" w:cs="Times New Roman"/>
          <w:lang w:val="en-GB" w:eastAsia="zh-CN"/>
        </w:rPr>
        <w:t>“fundamental notion … implicit, but seldom clearly stated, in applied economic writings in the orthodox tradition”</w:t>
      </w:r>
      <w:r w:rsidRPr="005445BF">
        <w:rPr>
          <w:rFonts w:ascii="Times New Roman" w:hAnsi="Times New Roman" w:cs="Times New Roman"/>
          <w:lang w:val="en-GB"/>
        </w:rPr>
        <w:t>. Hutt had already explained that “[h]is book is as much a criticism as a vindication of those who have been led to build on the traditions of orthodoxy” (Hutt (1936: 34)); in fact he considered to be the “main task of the economist or any other genuine social philosopher in th[o]se days … to determine the origin and then attack the false beliefs which actuate the society in which he finds himself” (Hutt (1936: 38)). . See also Bymers (1982: 195), Reekie (1988: 6), Buchanan (1988: 6), Persky (1993: 184), Rutherford (2013: 113). Reekie further adds that “[b]y the mid-nineteenth century Smith’s views had prevailed” (Reekie (1988: 3)); De Strobel states that “[e]conomists have always stated that consumption is the ultimate end of production” (De Strobel (1970: 7, translated by Esposito; see also 21-28)).</w:t>
      </w:r>
    </w:p>
  </w:footnote>
  <w:footnote w:id="32">
    <w:p w14:paraId="434CFC22" w14:textId="7DA012FA" w:rsidR="007833EF" w:rsidRPr="005445BF" w:rsidRDefault="007833EF" w:rsidP="005445BF">
      <w:pPr>
        <w:pStyle w:val="Testonotaapidipagina"/>
        <w:mirrorIndents/>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In </w:t>
      </w:r>
      <w:r w:rsidRPr="005445BF">
        <w:rPr>
          <w:rFonts w:ascii="Times New Roman" w:hAnsi="Times New Roman" w:cs="Times New Roman"/>
          <w:i/>
          <w:lang w:val="en-GB"/>
        </w:rPr>
        <w:t>The Wealth of Nations</w:t>
      </w:r>
      <w:r w:rsidRPr="005445BF">
        <w:rPr>
          <w:rFonts w:ascii="Times New Roman" w:hAnsi="Times New Roman" w:cs="Times New Roman"/>
          <w:lang w:val="en-GB"/>
        </w:rPr>
        <w:t>, Smith writes that “</w:t>
      </w:r>
      <w:r w:rsidRPr="005445BF">
        <w:rPr>
          <w:rFonts w:ascii="Times New Roman" w:eastAsia="SimSun" w:hAnsi="Times New Roman" w:cs="Times New Roman"/>
          <w:lang w:val="en-GB" w:eastAsia="zh-CN"/>
        </w:rPr>
        <w:t>Consumption is the sole end and purpose of all production; and the interest of the producer ought to be attended to, only so far as it may be necessary for promoting that of the consumer. The maxim is so perfectly self-evident, that it would be absurd to attempt to prove it</w:t>
      </w:r>
      <w:r w:rsidRPr="005445BF">
        <w:rPr>
          <w:rFonts w:ascii="Times New Roman" w:hAnsi="Times New Roman" w:cs="Times New Roman"/>
          <w:lang w:val="en-GB"/>
        </w:rPr>
        <w:t xml:space="preserve">” Smith (2007 (1776): 426). This is recognised, among others, in Iain Ramsay’s entry “consumer protection” in </w:t>
      </w:r>
      <w:r w:rsidRPr="005445BF">
        <w:rPr>
          <w:rFonts w:ascii="Times New Roman" w:hAnsi="Times New Roman" w:cs="Times New Roman"/>
          <w:i/>
          <w:lang w:val="en-GB"/>
        </w:rPr>
        <w:t>The New Palgrave Dictionary of Economics and the Law</w:t>
      </w:r>
      <w:r w:rsidRPr="005445BF">
        <w:rPr>
          <w:rFonts w:ascii="Times New Roman" w:hAnsi="Times New Roman" w:cs="Times New Roman"/>
          <w:lang w:val="en-GB"/>
        </w:rPr>
        <w:t>: “consumer protection reflected Smith’s statement that ‘consumption is the sole end and purpose of all production’” (Ramsay (2002: 410)).</w:t>
      </w:r>
    </w:p>
  </w:footnote>
  <w:footnote w:id="33">
    <w:p w14:paraId="7B718A53" w14:textId="7386898D" w:rsidR="007833EF" w:rsidRPr="005445BF" w:rsidRDefault="007833EF" w:rsidP="005445BF">
      <w:pPr>
        <w:pStyle w:val="Testonotaapidipagina"/>
        <w:jc w:val="both"/>
        <w:rPr>
          <w:rFonts w:ascii="Times New Roman" w:hAnsi="Times New Roman" w:cs="Times New Roman"/>
          <w:lang w:val="pt-PT"/>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pt-PT"/>
        </w:rPr>
        <w:t xml:space="preserve"> Esposito (forthcoming b: chapter 2).</w:t>
      </w:r>
    </w:p>
  </w:footnote>
  <w:footnote w:id="34">
    <w:p w14:paraId="23740F65" w14:textId="589C243D"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Parisi (2013: 6).</w:t>
      </w:r>
    </w:p>
  </w:footnote>
  <w:footnote w:id="35">
    <w:p w14:paraId="71629CF6" w14:textId="2800891A"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Parisi (2013: 60).</w:t>
      </w:r>
    </w:p>
  </w:footnote>
  <w:footnote w:id="36">
    <w:p w14:paraId="7D84F78D" w14:textId="1215E7AB" w:rsidR="007833EF" w:rsidRPr="005445BF" w:rsidRDefault="007833EF" w:rsidP="005445BF">
      <w:pPr>
        <w:pStyle w:val="Testonotaapidipagina"/>
        <w:jc w:val="both"/>
        <w:rPr>
          <w:rFonts w:ascii="Times New Roman" w:hAnsi="Times New Roman" w:cs="Times New Roman"/>
          <w:lang w:val="pt-PT"/>
        </w:rPr>
      </w:pPr>
      <w:r w:rsidRPr="005445BF">
        <w:rPr>
          <w:rStyle w:val="Rimandonotaapidipagina"/>
          <w:rFonts w:ascii="Times New Roman" w:hAnsi="Times New Roman" w:cs="Times New Roman"/>
        </w:rPr>
        <w:footnoteRef/>
      </w:r>
      <w:r w:rsidRPr="005445BF">
        <w:rPr>
          <w:rFonts w:ascii="Times New Roman" w:hAnsi="Times New Roman" w:cs="Times New Roman"/>
          <w:lang w:val="pt-PT"/>
        </w:rPr>
        <w:t xml:space="preserve"> Cseres (2005: 12).</w:t>
      </w:r>
    </w:p>
  </w:footnote>
  <w:footnote w:id="37">
    <w:p w14:paraId="5132BF9E" w14:textId="62D6FCF5" w:rsidR="007833EF" w:rsidRPr="005445BF" w:rsidRDefault="007833EF" w:rsidP="005445BF">
      <w:pPr>
        <w:pStyle w:val="Testonotaapidipagina"/>
        <w:jc w:val="both"/>
        <w:rPr>
          <w:rFonts w:ascii="Times New Roman" w:hAnsi="Times New Roman" w:cs="Times New Roman"/>
          <w:lang w:val="pt-PT"/>
        </w:rPr>
      </w:pPr>
      <w:r w:rsidRPr="005445BF">
        <w:rPr>
          <w:rStyle w:val="Rimandonotaapidipagina"/>
          <w:rFonts w:ascii="Times New Roman" w:hAnsi="Times New Roman" w:cs="Times New Roman"/>
        </w:rPr>
        <w:footnoteRef/>
      </w:r>
      <w:r w:rsidRPr="005445BF">
        <w:rPr>
          <w:rFonts w:ascii="Times New Roman" w:hAnsi="Times New Roman" w:cs="Times New Roman"/>
          <w:lang w:val="pt-PT"/>
        </w:rPr>
        <w:t xml:space="preserve"> Cseres (2005: 12, 176).</w:t>
      </w:r>
    </w:p>
  </w:footnote>
  <w:footnote w:id="38">
    <w:p w14:paraId="71CAF357" w14:textId="7777777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This conception is the one more in accord with Hutt’s original framework.</w:t>
      </w:r>
    </w:p>
  </w:footnote>
  <w:footnote w:id="39">
    <w:p w14:paraId="38FEF640" w14:textId="4AA22832" w:rsidR="007833EF" w:rsidRPr="005445BF" w:rsidRDefault="007833EF" w:rsidP="005445BF">
      <w:pPr>
        <w:pStyle w:val="Testonotaapidipagina"/>
        <w:jc w:val="both"/>
        <w:rPr>
          <w:rFonts w:ascii="Times New Roman" w:hAnsi="Times New Roman" w:cs="Times New Roman"/>
          <w:i/>
          <w:iCs/>
          <w:lang w:val="en-US"/>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US"/>
        </w:rPr>
        <w:t xml:space="preserve"> Hirschman (1970: 4).</w:t>
      </w:r>
    </w:p>
  </w:footnote>
  <w:footnote w:id="40">
    <w:p w14:paraId="2839CF77" w14:textId="1947D969"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US"/>
        </w:rPr>
        <w:t xml:space="preserve"> Hirschman (1970: 55).</w:t>
      </w:r>
    </w:p>
  </w:footnote>
  <w:footnote w:id="41">
    <w:p w14:paraId="70DC13F7" w14:textId="0B57CD84"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We borrow this expression from Hildebrand (2016: 30).</w:t>
      </w:r>
    </w:p>
  </w:footnote>
  <w:footnote w:id="42">
    <w:p w14:paraId="545684B4" w14:textId="4F9C7AE2"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This version of the argument is used, for example, in </w:t>
      </w:r>
      <w:r w:rsidRPr="005445BF">
        <w:rPr>
          <w:rFonts w:ascii="Times New Roman" w:hAnsi="Times New Roman" w:cs="Times New Roman"/>
        </w:rPr>
        <w:t>Cowen and Tabarrok (2011: 225)</w:t>
      </w:r>
      <w:r w:rsidRPr="005445BF">
        <w:rPr>
          <w:rFonts w:ascii="Times New Roman" w:hAnsi="Times New Roman" w:cs="Times New Roman"/>
          <w:lang w:val="en-US"/>
        </w:rPr>
        <w:t>.</w:t>
      </w:r>
    </w:p>
  </w:footnote>
  <w:footnote w:id="43">
    <w:p w14:paraId="4DD49A85" w14:textId="46B9962F" w:rsidR="007833EF" w:rsidRPr="005445BF" w:rsidRDefault="007833EF" w:rsidP="005445BF">
      <w:pPr>
        <w:widowControl w:val="0"/>
        <w:autoSpaceDE w:val="0"/>
        <w:autoSpaceDN w:val="0"/>
        <w:adjustRightInd w:val="0"/>
        <w:spacing w:after="0" w:line="240" w:lineRule="auto"/>
        <w:jc w:val="both"/>
        <w:rPr>
          <w:rFonts w:ascii="Times New Roman" w:hAnsi="Times New Roman" w:cs="Times New Roman"/>
          <w:sz w:val="20"/>
          <w:szCs w:val="20"/>
          <w:lang w:val="en-GB"/>
        </w:rPr>
      </w:pPr>
      <w:r w:rsidRPr="005445BF">
        <w:rPr>
          <w:rStyle w:val="Rimandonotaapidipagina"/>
          <w:rFonts w:ascii="Times New Roman" w:hAnsi="Times New Roman" w:cs="Times New Roman"/>
          <w:sz w:val="20"/>
          <w:szCs w:val="20"/>
          <w:lang w:val="en-GB"/>
        </w:rPr>
        <w:footnoteRef/>
      </w:r>
      <w:r w:rsidRPr="005445BF">
        <w:rPr>
          <w:rFonts w:ascii="Times New Roman" w:hAnsi="Times New Roman" w:cs="Times New Roman"/>
          <w:sz w:val="20"/>
          <w:szCs w:val="20"/>
          <w:lang w:val="en-GB"/>
        </w:rPr>
        <w:t xml:space="preserve"> Path breaking</w:t>
      </w:r>
      <w:r>
        <w:rPr>
          <w:rFonts w:ascii="Times New Roman" w:hAnsi="Times New Roman" w:cs="Times New Roman"/>
          <w:sz w:val="20"/>
          <w:szCs w:val="20"/>
          <w:lang w:val="en-GB"/>
        </w:rPr>
        <w:t xml:space="preserve"> Bearle and Means (1991 (1932)) an</w:t>
      </w:r>
      <w:r w:rsidR="00F52C04">
        <w:rPr>
          <w:rFonts w:ascii="Times New Roman" w:hAnsi="Times New Roman" w:cs="Times New Roman"/>
          <w:sz w:val="20"/>
          <w:szCs w:val="20"/>
          <w:lang w:val="en-GB"/>
        </w:rPr>
        <w:t>d</w:t>
      </w:r>
      <w:r w:rsidRPr="005445BF">
        <w:rPr>
          <w:rFonts w:ascii="Times New Roman" w:hAnsi="Times New Roman" w:cs="Times New Roman"/>
          <w:sz w:val="20"/>
          <w:szCs w:val="20"/>
          <w:lang w:val="en-GB"/>
        </w:rPr>
        <w:t xml:space="preserve"> Jensen and Meckling</w:t>
      </w:r>
      <w:r w:rsidRPr="005445BF">
        <w:rPr>
          <w:rFonts w:ascii="Times New Roman" w:hAnsi="Times New Roman" w:cs="Times New Roman"/>
          <w:i/>
          <w:sz w:val="20"/>
          <w:szCs w:val="20"/>
          <w:lang w:val="en-GB"/>
        </w:rPr>
        <w:t>,</w:t>
      </w:r>
      <w:r w:rsidRPr="005445BF">
        <w:rPr>
          <w:rFonts w:ascii="Times New Roman" w:hAnsi="Times New Roman" w:cs="Times New Roman"/>
          <w:sz w:val="20"/>
          <w:szCs w:val="20"/>
          <w:lang w:val="en-GB"/>
        </w:rPr>
        <w:t xml:space="preserve"> (1976); </w:t>
      </w:r>
      <w:r>
        <w:rPr>
          <w:rFonts w:ascii="Times New Roman" w:hAnsi="Times New Roman" w:cs="Times New Roman"/>
          <w:sz w:val="20"/>
          <w:szCs w:val="20"/>
          <w:lang w:val="en-GB"/>
        </w:rPr>
        <w:t xml:space="preserve">for </w:t>
      </w:r>
      <w:r w:rsidRPr="005445BF">
        <w:rPr>
          <w:rFonts w:ascii="Times New Roman" w:hAnsi="Times New Roman" w:cs="Times New Roman"/>
          <w:sz w:val="20"/>
          <w:szCs w:val="20"/>
          <w:lang w:val="en-GB"/>
        </w:rPr>
        <w:t xml:space="preserve">the context and later developments of </w:t>
      </w:r>
      <w:r>
        <w:rPr>
          <w:rFonts w:ascii="Times New Roman" w:hAnsi="Times New Roman" w:cs="Times New Roman"/>
          <w:sz w:val="20"/>
          <w:szCs w:val="20"/>
          <w:lang w:val="en-GB"/>
        </w:rPr>
        <w:t>their theories, see Grundmann (</w:t>
      </w:r>
      <w:r w:rsidRPr="005445BF">
        <w:rPr>
          <w:rFonts w:ascii="Times New Roman" w:hAnsi="Times New Roman" w:cs="Times New Roman"/>
          <w:sz w:val="20"/>
          <w:szCs w:val="20"/>
          <w:lang w:val="en-GB"/>
        </w:rPr>
        <w:t xml:space="preserve">2015: </w:t>
      </w:r>
      <w:r w:rsidRPr="005445BF">
        <w:rPr>
          <w:rFonts w:ascii="Times New Roman" w:hAnsi="Times New Roman" w:cs="Times New Roman"/>
          <w:sz w:val="20"/>
          <w:szCs w:val="20"/>
          <w:highlight w:val="green"/>
          <w:lang w:val="en-GB"/>
        </w:rPr>
        <w:t>xxx</w:t>
      </w:r>
      <w:r w:rsidRPr="005445BF">
        <w:rPr>
          <w:rFonts w:ascii="Times New Roman" w:hAnsi="Times New Roman" w:cs="Times New Roman"/>
          <w:sz w:val="20"/>
          <w:szCs w:val="20"/>
          <w:lang w:val="en-GB"/>
        </w:rPr>
        <w:t xml:space="preserve"> et seqq. and </w:t>
      </w:r>
      <w:r w:rsidRPr="005445BF">
        <w:rPr>
          <w:rFonts w:ascii="Times New Roman" w:hAnsi="Times New Roman" w:cs="Times New Roman"/>
          <w:sz w:val="20"/>
          <w:szCs w:val="20"/>
          <w:highlight w:val="green"/>
          <w:lang w:val="en-GB"/>
        </w:rPr>
        <w:t>xxx</w:t>
      </w:r>
      <w:r w:rsidRPr="005445BF">
        <w:rPr>
          <w:rFonts w:ascii="Times New Roman" w:hAnsi="Times New Roman" w:cs="Times New Roman"/>
          <w:sz w:val="20"/>
          <w:szCs w:val="20"/>
          <w:lang w:val="en-GB"/>
        </w:rPr>
        <w:t xml:space="preserve"> et seqq., forthcoming also in English).</w:t>
      </w:r>
    </w:p>
  </w:footnote>
  <w:footnote w:id="44">
    <w:p w14:paraId="01DB81E7" w14:textId="346BC77C" w:rsidR="007833EF" w:rsidRPr="001547E0" w:rsidRDefault="007833EF">
      <w:pPr>
        <w:pStyle w:val="Testonotaapidipagina"/>
        <w:rPr>
          <w:lang w:val="it-IT"/>
        </w:rPr>
      </w:pPr>
      <w:r>
        <w:rPr>
          <w:rStyle w:val="Rimandonotaapidipagina"/>
        </w:rPr>
        <w:footnoteRef/>
      </w:r>
      <w:r>
        <w:t xml:space="preserve"> </w:t>
      </w:r>
      <w:r>
        <w:rPr>
          <w:lang w:val="it-IT"/>
        </w:rPr>
        <w:t>These limits are important because the embody considerations that are conflicting with allocative efficiency and that thus would require the legal system to balance the conflicting interests; see below, section II. 2, lett. d)</w:t>
      </w:r>
    </w:p>
  </w:footnote>
  <w:footnote w:id="45">
    <w:p w14:paraId="4EA8BB68" w14:textId="593B0DC0"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w:t>
      </w:r>
      <w:r w:rsidRPr="005445BF">
        <w:rPr>
          <w:rFonts w:ascii="Times New Roman" w:hAnsi="Times New Roman" w:cs="Times New Roman"/>
          <w:lang w:val="en-GB"/>
        </w:rPr>
        <w:t xml:space="preserve">Page 308: ‘If both parties to the relationship are utility maximizers there is good reason to believe that the agent will not always act in the best interests of the principal. The </w:t>
      </w:r>
      <w:r w:rsidRPr="005445BF">
        <w:rPr>
          <w:rFonts w:ascii="Times New Roman" w:hAnsi="Times New Roman" w:cs="Times New Roman"/>
          <w:i/>
          <w:lang w:val="en-GB"/>
        </w:rPr>
        <w:t>principal</w:t>
      </w:r>
      <w:r w:rsidRPr="005445BF">
        <w:rPr>
          <w:rFonts w:ascii="Times New Roman" w:hAnsi="Times New Roman" w:cs="Times New Roman"/>
          <w:lang w:val="en-GB"/>
        </w:rPr>
        <w:t xml:space="preserve"> can limit divergences from his interests by establishing appropriate incentives for the agent and by incurring monitoring costs … [and may] pay the </w:t>
      </w:r>
      <w:r w:rsidRPr="005445BF">
        <w:rPr>
          <w:rFonts w:ascii="Times New Roman" w:hAnsi="Times New Roman" w:cs="Times New Roman"/>
          <w:i/>
          <w:lang w:val="en-GB"/>
        </w:rPr>
        <w:t>agent</w:t>
      </w:r>
      <w:r w:rsidRPr="005445BF">
        <w:rPr>
          <w:rFonts w:ascii="Times New Roman" w:hAnsi="Times New Roman" w:cs="Times New Roman"/>
          <w:lang w:val="en-GB"/>
        </w:rPr>
        <w:t xml:space="preserve"> to expend resources (bonding costs) to guarantee that he will not take certain actions which would harm the principal …’. The overall scheme is easy to grasp as well: the management has the incentive now to overinvest in the consumption of a firm’s perquisites, as it profits from this (to a 100 %), yet no longer pays the expenses fully, but merely proportionally. Moreover, it may no longer invest so much effort into finding good opportunities, as it does no longer solely profit from them (according to Jensen/Meckling this is even the most serious risk, see p. 313).</w:t>
      </w:r>
      <w:r>
        <w:rPr>
          <w:rFonts w:ascii="Times New Roman" w:hAnsi="Times New Roman" w:cs="Times New Roman"/>
          <w:lang w:val="en-GB"/>
        </w:rPr>
        <w:t xml:space="preserve"> </w:t>
      </w:r>
      <w:r w:rsidRPr="005445BF">
        <w:rPr>
          <w:rFonts w:ascii="Times New Roman" w:hAnsi="Times New Roman" w:cs="Times New Roman"/>
          <w:lang w:val="en-GB"/>
        </w:rPr>
        <w:t xml:space="preserve">From the quote </w:t>
      </w:r>
      <w:r>
        <w:rPr>
          <w:rFonts w:ascii="Times New Roman" w:hAnsi="Times New Roman" w:cs="Times New Roman"/>
          <w:lang w:val="en-GB"/>
        </w:rPr>
        <w:t xml:space="preserve">just </w:t>
      </w:r>
      <w:r w:rsidRPr="005445BF">
        <w:rPr>
          <w:rFonts w:ascii="Times New Roman" w:hAnsi="Times New Roman" w:cs="Times New Roman"/>
          <w:lang w:val="en-GB"/>
        </w:rPr>
        <w:t>made, the famous formula is derived that “agency costs”, i.e. costs of establishing an agency relationship (rather than a market relationship or assuming the position oneself) consist of the sum of: ‘(1) the monitoring expenditures by the principal, (2) the bonding expenditures by the agent, [and] (3) the residual loss.’ (also p. 308). See also p. 323-326. For agency costs – also as compared to (market) transaction costs – see also Fama and Jensen (1983); Williamson (1988); Hart (1995).</w:t>
      </w:r>
    </w:p>
  </w:footnote>
  <w:footnote w:id="46">
    <w:p w14:paraId="3D4C0F95" w14:textId="1B9A42A2"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Note that this consideration holds on arguably heroic assumptions about the rationality and information of investors on the performance of the firm.</w:t>
      </w:r>
    </w:p>
  </w:footnote>
  <w:footnote w:id="47">
    <w:p w14:paraId="45D767FF" w14:textId="552A8967" w:rsidR="00C74057" w:rsidRPr="00F82AFC" w:rsidRDefault="00C74057" w:rsidP="00C74057">
      <w:pPr>
        <w:pStyle w:val="Testonotaapidipagina"/>
        <w:contextualSpacing/>
        <w:mirrorIndents/>
        <w:jc w:val="both"/>
        <w:rPr>
          <w:rFonts w:ascii="Times New Roman" w:hAnsi="Times New Roman" w:cs="Times New Roman"/>
        </w:rPr>
      </w:pPr>
      <w:r w:rsidRPr="00F82AFC">
        <w:rPr>
          <w:rStyle w:val="Rimandonotaapidipagina"/>
          <w:rFonts w:ascii="Times New Roman" w:hAnsi="Times New Roman" w:cs="Times New Roman"/>
        </w:rPr>
        <w:footnoteRef/>
      </w:r>
      <w:r w:rsidRPr="00F82AFC">
        <w:rPr>
          <w:rFonts w:ascii="Times New Roman" w:hAnsi="Times New Roman" w:cs="Times New Roman"/>
        </w:rPr>
        <w:t xml:space="preserve"> Hutt </w:t>
      </w:r>
      <w:r w:rsidR="0027409C">
        <w:rPr>
          <w:rFonts w:ascii="Times New Roman" w:hAnsi="Times New Roman" w:cs="Times New Roman"/>
        </w:rPr>
        <w:t>(</w:t>
      </w:r>
      <w:r w:rsidRPr="00F82AFC">
        <w:rPr>
          <w:rFonts w:ascii="Times New Roman" w:hAnsi="Times New Roman" w:cs="Times New Roman"/>
        </w:rPr>
        <w:t>1936: 99-100</w:t>
      </w:r>
      <w:r w:rsidR="0027409C">
        <w:rPr>
          <w:rFonts w:ascii="Times New Roman" w:hAnsi="Times New Roman" w:cs="Times New Roman"/>
        </w:rPr>
        <w:t>)</w:t>
      </w:r>
      <w:r w:rsidRPr="00F82AFC">
        <w:rPr>
          <w:rFonts w:ascii="Times New Roman" w:hAnsi="Times New Roman" w:cs="Times New Roman"/>
        </w:rPr>
        <w:t xml:space="preserve">. </w:t>
      </w:r>
    </w:p>
  </w:footnote>
  <w:footnote w:id="48">
    <w:p w14:paraId="58ECC52A" w14:textId="23DC2969" w:rsidR="006B0422" w:rsidRPr="001547E0" w:rsidRDefault="006B0422">
      <w:pPr>
        <w:pStyle w:val="Testonotaapidipagina"/>
        <w:rPr>
          <w:lang w:val="it-IT"/>
        </w:rPr>
      </w:pPr>
      <w:r>
        <w:rPr>
          <w:rStyle w:val="Rimandonotaapidipagina"/>
        </w:rPr>
        <w:footnoteRef/>
      </w:r>
      <w:r>
        <w:t xml:space="preserve"> </w:t>
      </w:r>
      <w:r w:rsidR="00D3161F">
        <w:t>Posner (2009: 1042). Indeed, Posner is concerned also with social costs, but both “redistributive effects and social costs … appear sufficiently large … to warrant serious consideration of possible ameliorative measures“ (Posner 2009: 1043).</w:t>
      </w:r>
    </w:p>
  </w:footnote>
  <w:footnote w:id="49">
    <w:p w14:paraId="3CFF1899" w14:textId="5EB265D8" w:rsidR="00C74057" w:rsidRPr="001547E0" w:rsidRDefault="00C74057">
      <w:pPr>
        <w:pStyle w:val="Testonotaapidipagina"/>
        <w:rPr>
          <w:lang w:val="it-IT"/>
        </w:rPr>
      </w:pPr>
      <w:r>
        <w:rPr>
          <w:rStyle w:val="Rimandonotaapidipagina"/>
        </w:rPr>
        <w:footnoteRef/>
      </w:r>
      <w:r>
        <w:t xml:space="preserve"> </w:t>
      </w:r>
      <w:r>
        <w:rPr>
          <w:lang w:val="it-IT"/>
        </w:rPr>
        <w:t>See Medema (2010) for a discussion.</w:t>
      </w:r>
    </w:p>
  </w:footnote>
  <w:footnote w:id="50">
    <w:p w14:paraId="6FE99226" w14:textId="69698F7D" w:rsidR="00C74057" w:rsidRPr="001547E0" w:rsidRDefault="00C74057">
      <w:pPr>
        <w:pStyle w:val="Testonotaapidipagina"/>
        <w:rPr>
          <w:lang w:val="it-IT"/>
        </w:rPr>
      </w:pPr>
      <w:r>
        <w:rPr>
          <w:rStyle w:val="Rimandonotaapidipagina"/>
        </w:rPr>
        <w:footnoteRef/>
      </w:r>
      <w:r>
        <w:t xml:space="preserve"> Posner (1985).</w:t>
      </w:r>
    </w:p>
  </w:footnote>
  <w:footnote w:id="51">
    <w:p w14:paraId="4C58DC57" w14:textId="40B5894B"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For a legal discussion along these lines, see DCFR Study Group (2009: 59); from an economic perspective, see Stigler (2008). </w:t>
      </w:r>
    </w:p>
  </w:footnote>
  <w:footnote w:id="52">
    <w:p w14:paraId="5FA6DE4F" w14:textId="2E601800"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Our characterization of the other relevant interests here is admittedly just a sketch. However, for current purposes it appears to be sufficient.</w:t>
      </w:r>
    </w:p>
  </w:footnote>
  <w:footnote w:id="53">
    <w:p w14:paraId="7A64C180" w14:textId="71EFEA7F"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As far as we know, the most elaborate study in this direction in the law and economics literature was offered by Adler (2012).</w:t>
      </w:r>
    </w:p>
  </w:footnote>
  <w:footnote w:id="54">
    <w:p w14:paraId="0F9D829F" w14:textId="7319AD57"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Holmström (1982).</w:t>
      </w:r>
    </w:p>
  </w:footnote>
  <w:footnote w:id="55">
    <w:p w14:paraId="6A162909" w14:textId="5AABFA56"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See, for example, Bolton and Dewatriport (2005: 297-364).</w:t>
      </w:r>
    </w:p>
  </w:footnote>
  <w:footnote w:id="56">
    <w:p w14:paraId="42C4F3EB" w14:textId="4D319D20"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We cannot in fact exclude that more useful economic modelling of principal and multi agent relations are available. If this is the case, we admit our ignorance and we will be very thankful for suggestions.</w:t>
      </w:r>
    </w:p>
  </w:footnote>
  <w:footnote w:id="57">
    <w:p w14:paraId="60DE6988" w14:textId="68728FF7"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Varian (1990).</w:t>
      </w:r>
    </w:p>
  </w:footnote>
  <w:footnote w:id="58">
    <w:p w14:paraId="3CE0F4EC" w14:textId="7B65CDD7"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Bar-Gill and Sunstein (2015: 15-19).</w:t>
      </w:r>
    </w:p>
  </w:footnote>
  <w:footnote w:id="59">
    <w:p w14:paraId="3091A8AC" w14:textId="37C9A93D"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See below, section VI.3.</w:t>
      </w:r>
    </w:p>
  </w:footnote>
  <w:footnote w:id="60">
    <w:p w14:paraId="037A6C35" w14:textId="30C0A291" w:rsidR="007833EF" w:rsidRPr="005445BF" w:rsidRDefault="007833EF" w:rsidP="005445BF">
      <w:pPr>
        <w:pStyle w:val="Testonotaapidipagina"/>
        <w:jc w:val="both"/>
        <w:rPr>
          <w:rFonts w:ascii="Times New Roman" w:hAnsi="Times New Roman" w:cs="Times New Roman"/>
          <w:lang w:val="nn-NO"/>
        </w:rPr>
      </w:pPr>
      <w:r w:rsidRPr="005445BF">
        <w:rPr>
          <w:rStyle w:val="Rimandonotaapidipagina"/>
          <w:rFonts w:ascii="Times New Roman" w:hAnsi="Times New Roman" w:cs="Times New Roman"/>
        </w:rPr>
        <w:footnoteRef/>
      </w:r>
      <w:r w:rsidRPr="005445BF">
        <w:rPr>
          <w:rFonts w:ascii="Times New Roman" w:hAnsi="Times New Roman" w:cs="Times New Roman"/>
          <w:lang w:val="nn-NO"/>
        </w:rPr>
        <w:t xml:space="preserve"> Gillette (2004: 690-712).</w:t>
      </w:r>
    </w:p>
  </w:footnote>
  <w:footnote w:id="61">
    <w:p w14:paraId="71426959" w14:textId="25B91F01" w:rsidR="007833EF" w:rsidRPr="005445BF" w:rsidRDefault="007833EF" w:rsidP="005445BF">
      <w:pPr>
        <w:pStyle w:val="Testonotaapidipagina"/>
        <w:jc w:val="both"/>
        <w:rPr>
          <w:rFonts w:ascii="Times New Roman" w:hAnsi="Times New Roman" w:cs="Times New Roman"/>
          <w:lang w:val="nn-NO"/>
        </w:rPr>
      </w:pPr>
      <w:r w:rsidRPr="005445BF">
        <w:rPr>
          <w:rStyle w:val="Rimandonotaapidipagina"/>
          <w:rFonts w:ascii="Times New Roman" w:hAnsi="Times New Roman" w:cs="Times New Roman"/>
        </w:rPr>
        <w:footnoteRef/>
      </w:r>
      <w:r w:rsidRPr="005445BF">
        <w:rPr>
          <w:rFonts w:ascii="Times New Roman" w:hAnsi="Times New Roman" w:cs="Times New Roman"/>
          <w:lang w:val="nn-NO"/>
        </w:rPr>
        <w:t xml:space="preserve"> Gillette (2004: 689-690); Bar-Gill and Sunstein (2015: 1-4). </w:t>
      </w:r>
    </w:p>
  </w:footnote>
  <w:footnote w:id="62">
    <w:p w14:paraId="0BCB0606" w14:textId="33113DFD"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See Esposito (2016) for a discussion of the tension between the Pareto criterion, the Kaldor-Hicks criterion and allocative efficiency as defined in this article. See also Esposito (forthcoming b; chapters 1 and 4).</w:t>
      </w:r>
    </w:p>
  </w:footnote>
  <w:footnote w:id="63">
    <w:p w14:paraId="7F0B9D93" w14:textId="498B5F08"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See Jensen and Meckling (1976</w:t>
      </w:r>
      <w:r w:rsidR="00986027">
        <w:rPr>
          <w:rFonts w:ascii="Times New Roman" w:hAnsi="Times New Roman" w:cs="Times New Roman"/>
          <w:lang w:val="it-IT"/>
        </w:rPr>
        <w:t>:</w:t>
      </w:r>
      <w:r w:rsidR="00986027" w:rsidRPr="005445BF">
        <w:rPr>
          <w:rFonts w:ascii="Times New Roman" w:hAnsi="Times New Roman" w:cs="Times New Roman"/>
          <w:lang w:val="it-IT"/>
        </w:rPr>
        <w:t xml:space="preserve"> </w:t>
      </w:r>
      <w:r w:rsidRPr="005445BF">
        <w:rPr>
          <w:rFonts w:ascii="Times New Roman" w:hAnsi="Times New Roman" w:cs="Times New Roman"/>
          <w:lang w:val="it-IT"/>
        </w:rPr>
        <w:t>308).</w:t>
      </w:r>
    </w:p>
  </w:footnote>
  <w:footnote w:id="64">
    <w:p w14:paraId="50DFBC9B" w14:textId="42B3CCB2"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Commission (2007: 10). The distinction between empowerment and protection is used also by scholars; see, for example, Reich (2016: 152); Zuiderveen Borgesious (2015: 198). Cseres (2005: 320-326) refers to empowerment as “liberal model” and protection as “paternalistic model”; however, the author conceives these as alternative goals of consumer protection, while we submit that it is more appropriate to consider them as two means of consumer policy.</w:t>
      </w:r>
    </w:p>
  </w:footnote>
  <w:footnote w:id="65">
    <w:p w14:paraId="3253665E" w14:textId="2FD6179D"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See, for example, Weatherhill (2016) and Mak (2012).</w:t>
      </w:r>
    </w:p>
  </w:footnote>
  <w:footnote w:id="66">
    <w:p w14:paraId="448AF8BE" w14:textId="1328365E"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Commission (2007: 5 and also 2). See also Commission (2012: 2), where it is stated that "Empowering consumers means providing a robust framework of principles and tools that enable them to </w:t>
      </w:r>
      <w:r w:rsidRPr="005445BF">
        <w:rPr>
          <w:rFonts w:ascii="Times New Roman" w:hAnsi="Times New Roman" w:cs="Times New Roman"/>
          <w:i/>
          <w:lang w:val="en-GB"/>
        </w:rPr>
        <w:t>drive</w:t>
      </w:r>
      <w:r w:rsidRPr="005445BF">
        <w:rPr>
          <w:rFonts w:ascii="Times New Roman" w:hAnsi="Times New Roman" w:cs="Times New Roman"/>
          <w:lang w:val="en-GB"/>
        </w:rPr>
        <w:t xml:space="preserve"> a smart, sustainable and inclusive economy. Empowered consumers who can rely on a robust framework ensuring their </w:t>
      </w:r>
      <w:r w:rsidRPr="005445BF">
        <w:rPr>
          <w:rFonts w:ascii="Times New Roman" w:hAnsi="Times New Roman" w:cs="Times New Roman"/>
          <w:i/>
          <w:lang w:val="en-GB"/>
        </w:rPr>
        <w:t>safety, information, education, rights, means of redress and enforcement</w:t>
      </w:r>
      <w:r w:rsidRPr="005445BF">
        <w:rPr>
          <w:rFonts w:ascii="Times New Roman" w:hAnsi="Times New Roman" w:cs="Times New Roman"/>
          <w:lang w:val="en-GB"/>
        </w:rPr>
        <w:t xml:space="preserve">, can </w:t>
      </w:r>
      <w:r w:rsidRPr="005445BF">
        <w:rPr>
          <w:rFonts w:ascii="Times New Roman" w:hAnsi="Times New Roman" w:cs="Times New Roman"/>
          <w:i/>
          <w:lang w:val="en-GB"/>
        </w:rPr>
        <w:t>actively participate in the market</w:t>
      </w:r>
      <w:r w:rsidRPr="005445BF">
        <w:rPr>
          <w:rFonts w:ascii="Times New Roman" w:hAnsi="Times New Roman" w:cs="Times New Roman"/>
          <w:lang w:val="en-GB"/>
        </w:rPr>
        <w:t xml:space="preserve"> and make it work </w:t>
      </w:r>
      <w:r w:rsidRPr="005445BF">
        <w:rPr>
          <w:rFonts w:ascii="Times New Roman" w:eastAsia="SimSun" w:hAnsi="Times New Roman" w:cs="Times New Roman"/>
          <w:lang w:val="en-GB" w:eastAsia="zh-CN"/>
        </w:rPr>
        <w:t>for</w:t>
      </w:r>
      <w:r w:rsidRPr="005445BF">
        <w:rPr>
          <w:rFonts w:ascii="Times New Roman" w:hAnsi="Times New Roman" w:cs="Times New Roman"/>
          <w:lang w:val="en-GB"/>
        </w:rPr>
        <w:t xml:space="preserve"> them </w:t>
      </w:r>
      <w:r w:rsidRPr="005445BF">
        <w:rPr>
          <w:rFonts w:ascii="Times New Roman" w:hAnsi="Times New Roman" w:cs="Times New Roman"/>
          <w:i/>
          <w:lang w:val="en-GB"/>
        </w:rPr>
        <w:t>by exercising their power of choice</w:t>
      </w:r>
      <w:r w:rsidRPr="005445BF">
        <w:rPr>
          <w:rFonts w:ascii="Times New Roman" w:hAnsi="Times New Roman" w:cs="Times New Roman"/>
          <w:lang w:val="en-GB"/>
        </w:rPr>
        <w:t xml:space="preserve"> and by having their </w:t>
      </w:r>
      <w:r w:rsidRPr="005445BF">
        <w:rPr>
          <w:rFonts w:ascii="Times New Roman" w:hAnsi="Times New Roman" w:cs="Times New Roman"/>
          <w:i/>
          <w:lang w:val="en-GB"/>
        </w:rPr>
        <w:t>rights properly enforced</w:t>
      </w:r>
      <w:r w:rsidRPr="005445BF">
        <w:rPr>
          <w:rFonts w:ascii="Times New Roman" w:hAnsi="Times New Roman" w:cs="Times New Roman"/>
          <w:lang w:val="en-GB"/>
        </w:rPr>
        <w:t>” (emphasis added).</w:t>
      </w:r>
    </w:p>
  </w:footnote>
  <w:footnote w:id="67">
    <w:p w14:paraId="22756DA3" w14:textId="2CBBE1DB"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Commission (2007: 3).</w:t>
      </w:r>
    </w:p>
  </w:footnote>
  <w:footnote w:id="68">
    <w:p w14:paraId="0DFBCD2D" w14:textId="04960949"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Commission (2002: C 137/3). See also Commission (2005: 9).</w:t>
      </w:r>
    </w:p>
  </w:footnote>
  <w:footnote w:id="69">
    <w:p w14:paraId="0FFAEB5A" w14:textId="47D70532"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The concept has been pioneered by Hans-Wolfgang Micklitz in Micklitz (2001: 5, 34-43).</w:t>
      </w:r>
    </w:p>
  </w:footnote>
  <w:footnote w:id="70">
    <w:p w14:paraId="2823916C" w14:textId="4B8E8CC8" w:rsidR="007833EF" w:rsidRPr="005445BF" w:rsidRDefault="007833EF" w:rsidP="005445BF">
      <w:pPr>
        <w:pStyle w:val="Testonotaapidipagina"/>
        <w:jc w:val="both"/>
        <w:rPr>
          <w:rFonts w:ascii="Times New Roman" w:hAnsi="Times New Roman" w:cs="Times New Roman"/>
          <w:lang w:val="fr-FR"/>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fr-FR"/>
        </w:rPr>
        <w:t xml:space="preserve"> Commission (1999: 2; 2002: 2). </w:t>
      </w:r>
    </w:p>
  </w:footnote>
  <w:footnote w:id="71">
    <w:p w14:paraId="778E98C6" w14:textId="2477CF47" w:rsidR="007833EF" w:rsidRPr="005445BF" w:rsidRDefault="007833EF" w:rsidP="005445BF">
      <w:pPr>
        <w:pStyle w:val="Testonotaapidipagina"/>
        <w:jc w:val="both"/>
        <w:rPr>
          <w:rFonts w:ascii="Times New Roman" w:hAnsi="Times New Roman" w:cs="Times New Roman"/>
          <w:lang w:val="fr-FR"/>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fr-FR"/>
        </w:rPr>
        <w:t xml:space="preserve"> Commission (1999: 10).</w:t>
      </w:r>
    </w:p>
  </w:footnote>
  <w:footnote w:id="72">
    <w:p w14:paraId="3487DB24" w14:textId="2A23E798"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Commission (2005: 45; 2007: 4, 9).</w:t>
      </w:r>
    </w:p>
  </w:footnote>
  <w:footnote w:id="73">
    <w:p w14:paraId="5AEECD9E" w14:textId="6B011112"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It is complex to decide whether regulating conflict of interests between two parties mandatorily in market behaviour is a paternalistic move. For example, Cseres (2005: 320-321) and Sibony and Helleringer (2015) adopt this view. </w:t>
      </w:r>
    </w:p>
  </w:footnote>
  <w:footnote w:id="74">
    <w:p w14:paraId="16530290" w14:textId="29CA45AA" w:rsidR="007833EF" w:rsidRPr="005445BF" w:rsidRDefault="007833EF" w:rsidP="005445BF">
      <w:pPr>
        <w:pStyle w:val="Testonotaapidipagina"/>
        <w:jc w:val="both"/>
        <w:rPr>
          <w:rFonts w:ascii="Times New Roman" w:hAnsi="Times New Roman" w:cs="Times New Roman"/>
          <w:lang w:val="fr-FR"/>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fr-FR"/>
        </w:rPr>
        <w:t xml:space="preserve"> Commission (2005: 3; 2007: 5).</w:t>
      </w:r>
    </w:p>
  </w:footnote>
  <w:footnote w:id="75">
    <w:p w14:paraId="099611D4" w14:textId="2FC50618" w:rsidR="007833EF" w:rsidRPr="005445BF" w:rsidRDefault="007833EF" w:rsidP="005445BF">
      <w:pPr>
        <w:pStyle w:val="Testonotaapidipagina"/>
        <w:jc w:val="both"/>
        <w:rPr>
          <w:rFonts w:ascii="Times New Roman" w:hAnsi="Times New Roman" w:cs="Times New Roman"/>
          <w:lang w:val="fr-FR"/>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fr-FR"/>
        </w:rPr>
        <w:t xml:space="preserve"> Commission (2005: 3; 2007: 6).</w:t>
      </w:r>
    </w:p>
  </w:footnote>
  <w:footnote w:id="76">
    <w:p w14:paraId="5D369861" w14:textId="6C41496A" w:rsidR="007833EF" w:rsidRPr="005445BF" w:rsidRDefault="007833EF" w:rsidP="005445BF">
      <w:pPr>
        <w:pStyle w:val="Testonotaapidipagina"/>
        <w:jc w:val="both"/>
        <w:rPr>
          <w:rFonts w:ascii="Times New Roman" w:hAnsi="Times New Roman" w:cs="Times New Roman"/>
          <w:lang w:val="fr-FR"/>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fr-FR"/>
        </w:rPr>
        <w:t xml:space="preserve"> OECD (2010: 34-35).</w:t>
      </w:r>
    </w:p>
  </w:footnote>
  <w:footnote w:id="77">
    <w:p w14:paraId="167D65A7" w14:textId="652B291B"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Commission (2002: C 137/8; 2012: 4).</w:t>
      </w:r>
    </w:p>
  </w:footnote>
  <w:footnote w:id="78">
    <w:p w14:paraId="4DEA54BB" w14:textId="50B3B57C"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Commission (2007: 2, 3; 2012: 5, 16).</w:t>
      </w:r>
    </w:p>
  </w:footnote>
  <w:footnote w:id="79">
    <w:p w14:paraId="20A86ABB" w14:textId="2691B290"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Commission (2005: 2).</w:t>
      </w:r>
    </w:p>
  </w:footnote>
  <w:footnote w:id="80">
    <w:p w14:paraId="7F8668A9" w14:textId="247ADF51"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Commission (2003: 7).</w:t>
      </w:r>
    </w:p>
  </w:footnote>
  <w:footnote w:id="81">
    <w:p w14:paraId="7B37FCEC" w14:textId="728D41F2"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See the Shareholders Rights Directive, Directive 2007/36/EC.</w:t>
      </w:r>
    </w:p>
  </w:footnote>
  <w:footnote w:id="82">
    <w:p w14:paraId="5C176286" w14:textId="0B129AC6"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See draft articles 9a, 9b and 9c. </w:t>
      </w:r>
    </w:p>
  </w:footnote>
  <w:footnote w:id="83">
    <w:p w14:paraId="4F757797" w14:textId="62459FDC"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For example, Commission (2003: 3) and Shareholder’s Rights Directive, Recitals (4) and (11).</w:t>
      </w:r>
    </w:p>
  </w:footnote>
  <w:footnote w:id="84">
    <w:p w14:paraId="13B4384F" w14:textId="7AA4EEB2"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Commission (2011: 12-13).</w:t>
      </w:r>
    </w:p>
  </w:footnote>
  <w:footnote w:id="85">
    <w:p w14:paraId="58237AFE" w14:textId="401FEA5F"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For an early comment, see Chiu (2015). </w:t>
      </w:r>
    </w:p>
  </w:footnote>
  <w:footnote w:id="86">
    <w:p w14:paraId="01BC5156" w14:textId="77777777" w:rsidR="007833EF" w:rsidRPr="005445BF" w:rsidRDefault="007833EF" w:rsidP="005445BF">
      <w:pPr>
        <w:pStyle w:val="Testonotaapidipagina"/>
        <w:jc w:val="both"/>
        <w:rPr>
          <w:rFonts w:ascii="Times New Roman" w:hAnsi="Times New Roman" w:cs="Times New Roman"/>
          <w:szCs w:val="22"/>
          <w:lang w:val="en-GB"/>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Directive 2014/65/EC of the European Parliament and of the Council of 15 May 2014 on Markets in Financial Instruments and amending Directives 2002/92/EC and 2011/11/EU, </w:t>
      </w:r>
      <w:r w:rsidRPr="005445BF">
        <w:rPr>
          <w:rFonts w:ascii="Times New Roman" w:hAnsi="Times New Roman" w:cs="Times New Roman"/>
          <w:i/>
          <w:szCs w:val="22"/>
          <w:lang w:val="en-GB"/>
        </w:rPr>
        <w:t>EU OJ</w:t>
      </w:r>
      <w:r w:rsidRPr="005445BF">
        <w:rPr>
          <w:rFonts w:ascii="Times New Roman" w:hAnsi="Times New Roman" w:cs="Times New Roman"/>
          <w:szCs w:val="22"/>
          <w:lang w:val="en-GB"/>
        </w:rPr>
        <w:t xml:space="preserve"> 2014 L 173/349. A parallel regulation has been issued for the more technical questions (not really important for the following), also at level I: Regulation (EU) Nr. 600/2014 of the European Parliament and of the Council of 15 May 2014 on Markets in Financial Instruments and amending Regulation (EU) Nr. 648/2012, </w:t>
      </w:r>
      <w:r w:rsidRPr="005445BF">
        <w:rPr>
          <w:rFonts w:ascii="Times New Roman" w:hAnsi="Times New Roman" w:cs="Times New Roman"/>
          <w:i/>
          <w:szCs w:val="22"/>
          <w:lang w:val="en-GB"/>
        </w:rPr>
        <w:t>EU OJ</w:t>
      </w:r>
      <w:r w:rsidRPr="005445BF">
        <w:rPr>
          <w:rFonts w:ascii="Times New Roman" w:hAnsi="Times New Roman" w:cs="Times New Roman"/>
          <w:szCs w:val="22"/>
          <w:lang w:val="en-GB"/>
        </w:rPr>
        <w:t xml:space="preserve"> 2014 L 173/84.</w:t>
      </w:r>
    </w:p>
  </w:footnote>
  <w:footnote w:id="87">
    <w:p w14:paraId="3089043E" w14:textId="027579F3"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rPr>
        <w:footnoteRef/>
      </w:r>
      <w:r w:rsidRPr="005445BF">
        <w:rPr>
          <w:rFonts w:ascii="Times New Roman" w:hAnsi="Times New Roman" w:cs="Times New Roman"/>
          <w:lang w:val="en-GB"/>
        </w:rPr>
        <w:t xml:space="preserve"> For an analysis of the recitals, see S. Grundmann / Ph. Hacker (forthcoming, 2016), sub A. I. 2. For a more extended description of the approaches named in the following cf. also this article sub A. II.</w:t>
      </w:r>
    </w:p>
  </w:footnote>
  <w:footnote w:id="88">
    <w:p w14:paraId="13749A9E" w14:textId="225AEEE0" w:rsidR="007833EF" w:rsidRPr="005445BF" w:rsidRDefault="007833EF" w:rsidP="005445BF">
      <w:pPr>
        <w:pStyle w:val="Testonotaapidipagina"/>
        <w:tabs>
          <w:tab w:val="left" w:pos="-720"/>
        </w:tabs>
        <w:suppressAutoHyphens/>
        <w:spacing w:line="240" w:lineRule="atLeast"/>
        <w:jc w:val="both"/>
        <w:rPr>
          <w:rFonts w:ascii="Times New Roman" w:hAnsi="Times New Roman" w:cs="Times New Roman"/>
          <w:spacing w:val="-6"/>
          <w:szCs w:val="22"/>
          <w:lang w:val="en-GB"/>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Most explicitly and with lengthy explanation (and potentially also the first in time): W. Zöllner</w:t>
      </w:r>
      <w:r w:rsidRPr="005445BF">
        <w:rPr>
          <w:rFonts w:ascii="Times New Roman" w:hAnsi="Times New Roman" w:cs="Times New Roman"/>
          <w:spacing w:val="-6"/>
          <w:szCs w:val="22"/>
          <w:lang w:val="en-GB"/>
        </w:rPr>
        <w:t xml:space="preserve"> (1963:</w:t>
      </w:r>
      <w:r w:rsidRPr="005445BF">
        <w:rPr>
          <w:rFonts w:ascii="Times New Roman" w:hAnsi="Times New Roman" w:cs="Times New Roman"/>
          <w:szCs w:val="22"/>
          <w:lang w:val="en-GB"/>
        </w:rPr>
        <w:t xml:space="preserve"> 341-356 et passim); the argument can, however, also be found in the common law literature and case law on fiduciary duties, see from the early development of this idea namely: J.C. </w:t>
      </w:r>
      <w:r w:rsidRPr="005445BF">
        <w:rPr>
          <w:rFonts w:ascii="Times New Roman" w:hAnsi="Times New Roman" w:cs="Times New Roman"/>
          <w:spacing w:val="-6"/>
          <w:szCs w:val="22"/>
          <w:lang w:val="en-GB"/>
        </w:rPr>
        <w:t>Shepherd (1981: 35-42, 93-123) ("Encum</w:t>
      </w:r>
      <w:r w:rsidRPr="005445BF">
        <w:rPr>
          <w:rFonts w:ascii="Times New Roman" w:hAnsi="Times New Roman" w:cs="Times New Roman"/>
          <w:spacing w:val="-6"/>
          <w:szCs w:val="22"/>
          <w:lang w:val="en-GB"/>
        </w:rPr>
        <w:softHyphen/>
        <w:t>bered Po</w:t>
      </w:r>
      <w:r w:rsidRPr="005445BF">
        <w:rPr>
          <w:rFonts w:ascii="Times New Roman" w:hAnsi="Times New Roman" w:cs="Times New Roman"/>
          <w:spacing w:val="-6"/>
          <w:szCs w:val="22"/>
          <w:lang w:val="en-GB"/>
        </w:rPr>
        <w:softHyphen/>
        <w:t>wers"); critical in this respect, however: D. DeMott (1988: 912 et seqq.); see as well, with ample reference to case law, P. Finn (1977); E. Vinter (1955); T. Frankel (1983).</w:t>
      </w:r>
    </w:p>
  </w:footnote>
  <w:footnote w:id="89">
    <w:p w14:paraId="7B5C4C94" w14:textId="55B13403" w:rsidR="007833EF" w:rsidRPr="005445BF" w:rsidRDefault="007833EF" w:rsidP="005445BF">
      <w:pPr>
        <w:pStyle w:val="Testonotaapidipagina"/>
        <w:jc w:val="both"/>
        <w:rPr>
          <w:rFonts w:ascii="Times New Roman" w:hAnsi="Times New Roman" w:cs="Times New Roman"/>
          <w:szCs w:val="22"/>
          <w:lang w:val="en-GB"/>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First so clearly for this additional criterion, to our knowledge, S. Grundmann (1997: chapters 4 and 5); and summary in English in: S. Grundmann </w:t>
      </w:r>
      <w:r w:rsidRPr="005445BF">
        <w:rPr>
          <w:rFonts w:ascii="Times New Roman" w:hAnsi="Times New Roman" w:cs="Times New Roman"/>
          <w:spacing w:val="-6"/>
          <w:szCs w:val="22"/>
          <w:lang w:val="en-GB"/>
        </w:rPr>
        <w:t>(1999)</w:t>
      </w:r>
      <w:r w:rsidRPr="005445BF">
        <w:rPr>
          <w:rFonts w:ascii="Times New Roman" w:hAnsi="Times New Roman" w:cs="Times New Roman"/>
          <w:szCs w:val="22"/>
          <w:lang w:val="en-GB"/>
        </w:rPr>
        <w:t xml:space="preserve">. </w:t>
      </w:r>
    </w:p>
  </w:footnote>
  <w:footnote w:id="90">
    <w:p w14:paraId="36BD8E44" w14:textId="3964D2A8"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See MiFID II, Recital (72).</w:t>
      </w:r>
    </w:p>
  </w:footnote>
  <w:footnote w:id="91">
    <w:p w14:paraId="1EF2B7EA" w14:textId="48F7609E" w:rsidR="007833EF" w:rsidRPr="005445BF" w:rsidRDefault="007833EF" w:rsidP="005445BF">
      <w:pPr>
        <w:spacing w:after="0"/>
        <w:jc w:val="both"/>
        <w:rPr>
          <w:rFonts w:ascii="Times New Roman" w:hAnsi="Times New Roman" w:cs="Times New Roman"/>
          <w:spacing w:val="-6"/>
          <w:sz w:val="20"/>
          <w:szCs w:val="20"/>
          <w:lang w:val="en-GB"/>
        </w:rPr>
      </w:pPr>
      <w:r w:rsidRPr="005445BF">
        <w:rPr>
          <w:rStyle w:val="Rimandonotaapidipagina"/>
          <w:rFonts w:ascii="Times New Roman" w:hAnsi="Times New Roman" w:cs="Times New Roman"/>
          <w:sz w:val="20"/>
          <w:szCs w:val="20"/>
        </w:rPr>
        <w:footnoteRef/>
      </w:r>
      <w:r w:rsidRPr="005445BF">
        <w:rPr>
          <w:rFonts w:ascii="Times New Roman" w:hAnsi="Times New Roman" w:cs="Times New Roman"/>
          <w:sz w:val="20"/>
          <w:szCs w:val="20"/>
          <w:lang w:val="en-GB"/>
        </w:rPr>
        <w:t xml:space="preserve"> G. Akerlof </w:t>
      </w:r>
      <w:r w:rsidRPr="005445BF">
        <w:rPr>
          <w:rFonts w:ascii="Times New Roman" w:hAnsi="Times New Roman" w:cs="Times New Roman"/>
          <w:spacing w:val="-6"/>
          <w:sz w:val="20"/>
          <w:szCs w:val="20"/>
          <w:lang w:val="en-GB"/>
        </w:rPr>
        <w:t xml:space="preserve"> (1970). </w:t>
      </w:r>
      <w:r w:rsidRPr="005445BF">
        <w:rPr>
          <w:rFonts w:ascii="Times New Roman" w:hAnsi="Times New Roman" w:cs="Times New Roman"/>
          <w:sz w:val="20"/>
          <w:szCs w:val="20"/>
          <w:lang w:val="en-GB"/>
        </w:rPr>
        <w:t>For the efficiency implication of hidden gains with respect to the cost of investment advice, see more in detail C. Bryant / G. Taylor (2012); Council of Economic Advisers of the President of the United States, ‘The effects of conflicted investment advice on retirement savings’ (February 2015) Accessed on 30/03/2016 from &lt;https://www.whitehouse.gov/sites/default/files/docs/cea_coi_report_final.pdf&gt;; D. Blake (2014); and with respect to the value of the investment advice to the consumer see: M. Finke (2013: 229)</w:t>
      </w:r>
      <w:r w:rsidRPr="005445BF">
        <w:rPr>
          <w:rFonts w:ascii="Times New Roman" w:hAnsi="Times New Roman" w:cs="Times New Roman"/>
          <w:sz w:val="20"/>
          <w:szCs w:val="20"/>
          <w:shd w:val="clear" w:color="auto" w:fill="FFFFFF"/>
          <w:lang w:val="en-US"/>
        </w:rPr>
        <w:t>.</w:t>
      </w:r>
    </w:p>
  </w:footnote>
  <w:footnote w:id="92">
    <w:p w14:paraId="60864015" w14:textId="034534E7" w:rsidR="007833EF" w:rsidRPr="005445BF" w:rsidRDefault="007833EF" w:rsidP="005445BF">
      <w:pPr>
        <w:pStyle w:val="Testonotaapidipagina"/>
        <w:tabs>
          <w:tab w:val="left" w:pos="-720"/>
        </w:tabs>
        <w:suppressAutoHyphens/>
        <w:spacing w:line="240" w:lineRule="atLeast"/>
        <w:jc w:val="both"/>
        <w:rPr>
          <w:rFonts w:ascii="Times New Roman" w:hAnsi="Times New Roman" w:cs="Times New Roman"/>
          <w:spacing w:val="-6"/>
          <w:szCs w:val="22"/>
          <w:lang w:val="en-GB"/>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On this (rough) categorization of situations into three paradigmatic cases – in which quality can properly be assessed either before the transaction, or at least by hindsight or not at all –, see more in detail </w:t>
      </w:r>
      <w:r w:rsidRPr="005445BF">
        <w:rPr>
          <w:rFonts w:ascii="Times New Roman" w:hAnsi="Times New Roman" w:cs="Times New Roman"/>
          <w:lang w:val="en-GB"/>
        </w:rPr>
        <w:t>A. Creane / T.D. Jeitschko (2012)</w:t>
      </w:r>
      <w:r w:rsidRPr="005445BF">
        <w:rPr>
          <w:rFonts w:ascii="Times New Roman" w:hAnsi="Times New Roman" w:cs="Times New Roman"/>
          <w:szCs w:val="22"/>
          <w:lang w:val="en-GB"/>
        </w:rPr>
        <w:t xml:space="preserve">; </w:t>
      </w:r>
      <w:r w:rsidRPr="005445BF">
        <w:rPr>
          <w:rFonts w:ascii="Times New Roman" w:hAnsi="Times New Roman" w:cs="Times New Roman"/>
          <w:spacing w:val="-6"/>
          <w:szCs w:val="22"/>
          <w:lang w:val="en-GB"/>
        </w:rPr>
        <w:t xml:space="preserve">as for search goods and experience and credence goods see the pioneering works of P. Nelson (1970); M. Darby / E. Karni (1973); and today W.A Magat / K.W. Viscusi (1992); W. A. Magat (1998); </w:t>
      </w:r>
      <w:r w:rsidRPr="005445BF">
        <w:rPr>
          <w:rFonts w:ascii="Times New Roman" w:hAnsi="Times New Roman" w:cs="Times New Roman"/>
          <w:lang w:val="en-GB"/>
        </w:rPr>
        <w:t>E.G</w:t>
      </w:r>
      <w:r w:rsidRPr="005445BF">
        <w:rPr>
          <w:rFonts w:ascii="Times New Roman" w:hAnsi="Times New Roman" w:cs="Times New Roman"/>
          <w:lang w:val="en-US"/>
        </w:rPr>
        <w:t>.</w:t>
      </w:r>
      <w:r w:rsidRPr="005445BF">
        <w:rPr>
          <w:rFonts w:ascii="Times New Roman" w:hAnsi="Times New Roman" w:cs="Times New Roman"/>
          <w:spacing w:val="-6"/>
          <w:szCs w:val="22"/>
          <w:lang w:val="en-GB"/>
        </w:rPr>
        <w:t xml:space="preserve"> Furubotn / R. Richter (2005: 318-326).</w:t>
      </w:r>
    </w:p>
  </w:footnote>
  <w:footnote w:id="93">
    <w:p w14:paraId="195548B0" w14:textId="00ABCC79"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rPr>
        <w:footnoteRef/>
      </w:r>
      <w:r w:rsidRPr="005445BF">
        <w:rPr>
          <w:rFonts w:ascii="Times New Roman" w:hAnsi="Times New Roman" w:cs="Times New Roman"/>
          <w:lang w:val="en-GB"/>
        </w:rPr>
        <w:t xml:space="preserve"> M. Jensen / W. Meckling (1976).</w:t>
      </w:r>
    </w:p>
  </w:footnote>
  <w:footnote w:id="94">
    <w:p w14:paraId="77D2405B" w14:textId="2A12A0F1"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US"/>
        </w:rPr>
        <w:t xml:space="preserve"> </w:t>
      </w:r>
      <w:r w:rsidRPr="005445BF">
        <w:rPr>
          <w:rFonts w:ascii="Times New Roman" w:hAnsi="Times New Roman" w:cs="Times New Roman"/>
          <w:i/>
          <w:szCs w:val="22"/>
          <w:lang w:val="en-US"/>
        </w:rPr>
        <w:t xml:space="preserve">See, e.g., </w:t>
      </w:r>
      <w:r w:rsidRPr="005445BF">
        <w:rPr>
          <w:rFonts w:ascii="Times New Roman" w:hAnsi="Times New Roman" w:cs="Times New Roman"/>
          <w:szCs w:val="22"/>
          <w:lang w:val="en-US"/>
        </w:rPr>
        <w:t>M.J. Eppler / J. Mengis (2004).</w:t>
      </w:r>
    </w:p>
  </w:footnote>
  <w:footnote w:id="95">
    <w:p w14:paraId="57FBDAA5" w14:textId="5229588A"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US"/>
        </w:rPr>
        <w:t xml:space="preserve"> A. Edmunds / A. Morris (2000).</w:t>
      </w:r>
    </w:p>
  </w:footnote>
  <w:footnote w:id="96">
    <w:p w14:paraId="73FFC1E2" w14:textId="2557454B"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w:t>
      </w:r>
      <w:r w:rsidRPr="005445BF">
        <w:rPr>
          <w:rFonts w:ascii="Times New Roman" w:hAnsi="Times New Roman" w:cs="Times New Roman"/>
          <w:szCs w:val="22"/>
          <w:lang w:val="en-US"/>
        </w:rPr>
        <w:t xml:space="preserve">On optimism bias, see </w:t>
      </w:r>
      <w:r w:rsidRPr="005445BF">
        <w:rPr>
          <w:rFonts w:ascii="Times New Roman" w:hAnsi="Times New Roman" w:cs="Times New Roman"/>
          <w:szCs w:val="22"/>
          <w:lang w:val="en-GB"/>
        </w:rPr>
        <w:t>N.D. Weinstein</w:t>
      </w:r>
      <w:r w:rsidRPr="005445BF">
        <w:rPr>
          <w:rFonts w:ascii="Times New Roman" w:hAnsi="Times New Roman" w:cs="Times New Roman"/>
          <w:szCs w:val="22"/>
          <w:lang w:val="en-US"/>
        </w:rPr>
        <w:t xml:space="preserve"> (1980); </w:t>
      </w:r>
      <w:r w:rsidRPr="005445BF">
        <w:rPr>
          <w:rFonts w:ascii="Times New Roman" w:hAnsi="Times New Roman" w:cs="Times New Roman"/>
          <w:szCs w:val="22"/>
          <w:lang w:val="en-GB"/>
        </w:rPr>
        <w:t>N.D. Weinstein</w:t>
      </w:r>
      <w:r w:rsidRPr="005445BF">
        <w:rPr>
          <w:rFonts w:ascii="Times New Roman" w:hAnsi="Times New Roman" w:cs="Times New Roman"/>
          <w:szCs w:val="22"/>
          <w:lang w:val="en-US"/>
        </w:rPr>
        <w:t xml:space="preserve"> / </w:t>
      </w:r>
      <w:r w:rsidRPr="005445BF">
        <w:rPr>
          <w:rFonts w:ascii="Times New Roman" w:hAnsi="Times New Roman" w:cs="Times New Roman"/>
          <w:szCs w:val="22"/>
          <w:lang w:val="en-GB"/>
        </w:rPr>
        <w:t>W.M. Klein</w:t>
      </w:r>
      <w:r w:rsidRPr="005445BF">
        <w:rPr>
          <w:rFonts w:ascii="Times New Roman" w:hAnsi="Times New Roman" w:cs="Times New Roman"/>
          <w:szCs w:val="22"/>
          <w:lang w:val="en-US"/>
        </w:rPr>
        <w:t xml:space="preserve"> (</w:t>
      </w:r>
      <w:r w:rsidRPr="005445BF">
        <w:rPr>
          <w:rFonts w:ascii="Times New Roman" w:hAnsi="Times New Roman" w:cs="Times New Roman"/>
          <w:szCs w:val="22"/>
          <w:lang w:val="en-GB"/>
        </w:rPr>
        <w:t>1996</w:t>
      </w:r>
      <w:r w:rsidRPr="005445BF">
        <w:rPr>
          <w:rFonts w:ascii="Times New Roman" w:hAnsi="Times New Roman" w:cs="Times New Roman"/>
          <w:szCs w:val="22"/>
          <w:lang w:val="en-US"/>
        </w:rPr>
        <w:t xml:space="preserve">); for a cautionary note from a mathematical perspective, however, see </w:t>
      </w:r>
      <w:r w:rsidRPr="005445BF">
        <w:rPr>
          <w:rFonts w:ascii="Times New Roman" w:hAnsi="Times New Roman" w:cs="Times New Roman"/>
          <w:szCs w:val="22"/>
          <w:lang w:val="en-GB"/>
        </w:rPr>
        <w:t>A.G.L.</w:t>
      </w:r>
      <w:r w:rsidRPr="005445BF">
        <w:rPr>
          <w:rFonts w:ascii="Times New Roman" w:hAnsi="Times New Roman" w:cs="Times New Roman"/>
          <w:szCs w:val="22"/>
          <w:lang w:val="en-US"/>
        </w:rPr>
        <w:t xml:space="preserve"> </w:t>
      </w:r>
      <w:r w:rsidRPr="005445BF">
        <w:rPr>
          <w:rFonts w:ascii="Times New Roman" w:hAnsi="Times New Roman" w:cs="Times New Roman"/>
          <w:szCs w:val="22"/>
          <w:lang w:val="en-GB"/>
        </w:rPr>
        <w:t>Harris</w:t>
      </w:r>
      <w:r w:rsidRPr="005445BF">
        <w:rPr>
          <w:rFonts w:ascii="Times New Roman" w:hAnsi="Times New Roman" w:cs="Times New Roman"/>
          <w:szCs w:val="22"/>
          <w:lang w:val="en-US"/>
        </w:rPr>
        <w:t xml:space="preserve"> / </w:t>
      </w:r>
      <w:r w:rsidRPr="005445BF">
        <w:rPr>
          <w:rFonts w:ascii="Times New Roman" w:hAnsi="Times New Roman" w:cs="Times New Roman"/>
          <w:szCs w:val="22"/>
          <w:lang w:val="en-GB"/>
        </w:rPr>
        <w:t>U. Hahn</w:t>
      </w:r>
      <w:r w:rsidRPr="005445BF">
        <w:rPr>
          <w:rFonts w:ascii="Times New Roman" w:hAnsi="Times New Roman" w:cs="Times New Roman"/>
          <w:szCs w:val="22"/>
          <w:lang w:val="en-US"/>
        </w:rPr>
        <w:t xml:space="preserve"> (2011).</w:t>
      </w:r>
      <w:r w:rsidRPr="005445BF">
        <w:rPr>
          <w:rFonts w:ascii="Times New Roman" w:hAnsi="Times New Roman" w:cs="Times New Roman"/>
          <w:szCs w:val="22"/>
          <w:lang w:val="en-GB"/>
        </w:rPr>
        <w:t xml:space="preserve"> </w:t>
      </w:r>
    </w:p>
  </w:footnote>
  <w:footnote w:id="97">
    <w:p w14:paraId="35BDE20E" w14:textId="5F68E1FD" w:rsidR="007833EF" w:rsidRPr="005445BF" w:rsidRDefault="007833EF" w:rsidP="005445BF">
      <w:pPr>
        <w:pStyle w:val="Testonotaapidipagina"/>
        <w:jc w:val="both"/>
        <w:rPr>
          <w:rFonts w:ascii="Times New Roman" w:hAnsi="Times New Roman" w:cs="Times New Roman"/>
          <w:szCs w:val="22"/>
          <w:lang w:val="en-GB"/>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w:t>
      </w:r>
      <w:r w:rsidRPr="005445BF">
        <w:rPr>
          <w:rFonts w:ascii="Times New Roman" w:hAnsi="Times New Roman" w:cs="Times New Roman"/>
          <w:szCs w:val="22"/>
          <w:lang w:val="en-US"/>
        </w:rPr>
        <w:t>See C. Lord / M.R. Lepper / E. Preston (1984) (calling the effect “biased assimilation of new evidence”); R.S. Nickerson (1998).</w:t>
      </w:r>
    </w:p>
  </w:footnote>
  <w:footnote w:id="98">
    <w:p w14:paraId="5095FCBD" w14:textId="6C000702"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w:t>
      </w:r>
      <w:r w:rsidRPr="005445BF">
        <w:rPr>
          <w:rFonts w:ascii="Times New Roman" w:hAnsi="Times New Roman" w:cs="Times New Roman"/>
          <w:szCs w:val="22"/>
          <w:lang w:val="en-US"/>
        </w:rPr>
        <w:t>N. Chater / S. Huck / R. Inderst (</w:t>
      </w:r>
      <w:r w:rsidRPr="005445BF">
        <w:rPr>
          <w:rFonts w:ascii="Times New Roman" w:eastAsia="PMingLiU" w:hAnsi="Times New Roman" w:cs="Times New Roman"/>
          <w:szCs w:val="22"/>
          <w:lang w:val="en-US"/>
        </w:rPr>
        <w:t>2010: 385)</w:t>
      </w:r>
      <w:r w:rsidRPr="005445BF">
        <w:rPr>
          <w:rFonts w:ascii="Times New Roman" w:hAnsi="Times New Roman" w:cs="Times New Roman"/>
          <w:szCs w:val="22"/>
          <w:lang w:val="en-US"/>
        </w:rPr>
        <w:t>.</w:t>
      </w:r>
    </w:p>
  </w:footnote>
  <w:footnote w:id="99">
    <w:p w14:paraId="5543393A" w14:textId="008FA275"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On this connection see, with ample references, Grundmann (2016).</w:t>
      </w:r>
    </w:p>
  </w:footnote>
  <w:footnote w:id="100">
    <w:p w14:paraId="1A860A49" w14:textId="1C8439B8"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 xml:space="preserve">See above, section </w:t>
      </w:r>
      <w:r w:rsidR="00DB464B" w:rsidRPr="001547E0">
        <w:rPr>
          <w:rFonts w:ascii="Times New Roman" w:hAnsi="Times New Roman" w:cs="Times New Roman"/>
          <w:lang w:val="it-IT"/>
        </w:rPr>
        <w:t>II. 2</w:t>
      </w:r>
      <w:r w:rsidRPr="001547E0">
        <w:rPr>
          <w:rFonts w:ascii="Times New Roman" w:hAnsi="Times New Roman" w:cs="Times New Roman"/>
          <w:lang w:val="it-IT"/>
        </w:rPr>
        <w:t>.</w:t>
      </w:r>
    </w:p>
  </w:footnote>
  <w:footnote w:id="101">
    <w:p w14:paraId="68B2EF0F" w14:textId="4C832D81"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Elsewhere, one of us has called this implication the “dismality thesis of behavioural sciences” for consumer policy; see Esposito (forthcoming, 2016).</w:t>
      </w:r>
    </w:p>
  </w:footnote>
  <w:footnote w:id="102">
    <w:p w14:paraId="250DCDB5" w14:textId="65A20080"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GB"/>
        </w:rPr>
        <w:t xml:space="preserve"> </w:t>
      </w:r>
      <w:r w:rsidRPr="005445BF">
        <w:rPr>
          <w:rFonts w:ascii="Times New Roman" w:hAnsi="Times New Roman" w:cs="Times New Roman"/>
          <w:lang w:val="en-US"/>
        </w:rPr>
        <w:t xml:space="preserve">In relation to the exploration of the legal control on managerial discretion, see J. Parkinson (1995: 73-96); for an economic analysis of managerial discretion, see O. Williamson (1963); for an up-to-date empirical oriented paper pertaining to the role of board’s discretion in company’s internal organization see, D.B. Wangrow / D.J. Schepker / V.L. Barker (2015). For the details of regime imposed with respect to organizational prerequisites, see </w:t>
      </w:r>
      <w:r w:rsidRPr="005445BF">
        <w:rPr>
          <w:rFonts w:ascii="Times New Roman" w:hAnsi="Times New Roman" w:cs="Times New Roman"/>
          <w:lang w:val="en-GB"/>
        </w:rPr>
        <w:t>S. Grundmann / Ph. Hacker (forthcoming 2016: sub B. I).</w:t>
      </w:r>
    </w:p>
  </w:footnote>
  <w:footnote w:id="103">
    <w:p w14:paraId="1D995393" w14:textId="1EAA0C08"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w:t>
      </w:r>
      <w:r w:rsidRPr="005445BF">
        <w:rPr>
          <w:rFonts w:ascii="Times New Roman" w:hAnsi="Times New Roman" w:cs="Times New Roman"/>
          <w:lang w:val="en-US"/>
        </w:rPr>
        <w:t>The open-endedness of the regime is aimed at providing incentives for innovation and at taping the efficiency of decentralized decision making.</w:t>
      </w:r>
      <w:r w:rsidRPr="005445BF">
        <w:rPr>
          <w:rFonts w:ascii="Times New Roman" w:hAnsi="Times New Roman" w:cs="Times New Roman"/>
          <w:szCs w:val="22"/>
          <w:lang w:val="en-US"/>
        </w:rPr>
        <w:t xml:space="preserve"> Cf. CESR’s Technical Advice on Possible Implementing Measures of the Directive 2004/39/EC on Markets in Financial Instruments, 1st Set of Mandates’, January </w:t>
      </w:r>
      <w:r w:rsidRPr="005445BF">
        <w:rPr>
          <w:rFonts w:ascii="Times New Roman" w:hAnsi="Times New Roman" w:cs="Times New Roman"/>
          <w:szCs w:val="22"/>
          <w:lang w:val="en-GB"/>
        </w:rPr>
        <w:t>2005, at 41.</w:t>
      </w:r>
    </w:p>
  </w:footnote>
  <w:footnote w:id="104">
    <w:p w14:paraId="1E27F86F" w14:textId="25B271FE" w:rsidR="007833EF" w:rsidRPr="005445BF" w:rsidRDefault="007833EF" w:rsidP="005445BF">
      <w:pPr>
        <w:pStyle w:val="Testonotaapidipagina"/>
        <w:jc w:val="both"/>
        <w:rPr>
          <w:rFonts w:ascii="Times New Roman" w:hAnsi="Times New Roman" w:cs="Times New Roman"/>
          <w:szCs w:val="22"/>
          <w:lang w:val="en-GB"/>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w:t>
      </w:r>
      <w:r w:rsidRPr="005445BF">
        <w:rPr>
          <w:rFonts w:ascii="Times New Roman" w:eastAsia="Times New Roman" w:hAnsi="Times New Roman" w:cs="Times New Roman"/>
          <w:color w:val="000000"/>
          <w:shd w:val="clear" w:color="auto" w:fill="FFFFFF"/>
          <w:lang w:val="en-GB" w:eastAsia="de-DE"/>
        </w:rPr>
        <w:t xml:space="preserve">The majority view is that </w:t>
      </w:r>
      <w:r w:rsidRPr="005445BF">
        <w:rPr>
          <w:rFonts w:ascii="Times New Roman" w:hAnsi="Times New Roman" w:cs="Times New Roman"/>
          <w:lang w:val="en-US"/>
        </w:rPr>
        <w:t>not every possible prudential measure needs to be taken, rather it is deemed sufficient to limit the efforts to those strategies that can reasonably be expected to be undertaken given its size and structure</w:t>
      </w:r>
      <w:r w:rsidRPr="005445BF">
        <w:rPr>
          <w:rFonts w:ascii="Times New Roman" w:hAnsi="Times New Roman" w:cs="Times New Roman"/>
          <w:szCs w:val="22"/>
          <w:lang w:val="en-GB"/>
        </w:rPr>
        <w:t xml:space="preserve"> See, e.g., S. Grundmann (2015: n. VI 315); contra C. Kumpan / A. Hellgardt (</w:t>
      </w:r>
      <w:r w:rsidRPr="005445BF">
        <w:rPr>
          <w:rStyle w:val="Enfasigrassetto"/>
          <w:rFonts w:ascii="Times New Roman" w:hAnsi="Times New Roman" w:cs="Times New Roman"/>
          <w:b w:val="0"/>
          <w:szCs w:val="22"/>
        </w:rPr>
        <w:t>2006: 1715-1716).</w:t>
      </w:r>
    </w:p>
  </w:footnote>
  <w:footnote w:id="105">
    <w:p w14:paraId="7E727F7B" w14:textId="0586AB51"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US"/>
        </w:rPr>
        <w:t xml:space="preserve"> R. Inderst / M. Ottaviani (2012).</w:t>
      </w:r>
    </w:p>
  </w:footnote>
  <w:footnote w:id="106">
    <w:p w14:paraId="099184A1" w14:textId="42BD7D08"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w:t>
      </w:r>
      <w:r w:rsidRPr="005445BF">
        <w:rPr>
          <w:rFonts w:ascii="Times New Roman" w:hAnsi="Times New Roman" w:cs="Times New Roman"/>
          <w:szCs w:val="22"/>
          <w:lang w:val="en-US"/>
        </w:rPr>
        <w:t>Again, the same provision can be found in the MiFID I ID, Art. 22(4), which was moved up to Level 1 in MiFID II. Therefore, already under MiFID I, a minority view held that disclosure has to be such that the mechanism how the conflict of interest works and why lack of neutrality has to be feared has to be disclosed: see namely, even before introduction of  Level 2 legislation: S. Grundmann (</w:t>
      </w:r>
      <w:r w:rsidRPr="005445BF">
        <w:rPr>
          <w:rFonts w:ascii="Times New Roman" w:hAnsi="Times New Roman" w:cs="Times New Roman"/>
          <w:szCs w:val="22"/>
          <w:lang w:val="en-GB"/>
        </w:rPr>
        <w:t xml:space="preserve">2015: n. VI 227 </w:t>
      </w:r>
      <w:r w:rsidRPr="005445BF">
        <w:rPr>
          <w:rFonts w:ascii="Times New Roman" w:hAnsi="Times New Roman" w:cs="Times New Roman"/>
          <w:szCs w:val="22"/>
          <w:lang w:val="en-US"/>
        </w:rPr>
        <w:t>already in the editions before and with further references).</w:t>
      </w:r>
    </w:p>
  </w:footnote>
  <w:footnote w:id="107">
    <w:p w14:paraId="2E99BA2E" w14:textId="4A5559AE" w:rsidR="007833EF" w:rsidRPr="005445BF" w:rsidRDefault="007833EF" w:rsidP="005445BF">
      <w:pPr>
        <w:pStyle w:val="Testonotaapidipagina"/>
        <w:jc w:val="both"/>
        <w:rPr>
          <w:rFonts w:ascii="Times New Roman" w:hAnsi="Times New Roman" w:cs="Times New Roman"/>
          <w:szCs w:val="22"/>
          <w:lang w:val="en-US"/>
        </w:rPr>
      </w:pPr>
      <w:r w:rsidRPr="005445BF">
        <w:rPr>
          <w:rStyle w:val="Rimandonotaapidipagina"/>
          <w:rFonts w:ascii="Times New Roman" w:hAnsi="Times New Roman" w:cs="Times New Roman"/>
          <w:szCs w:val="22"/>
        </w:rPr>
        <w:footnoteRef/>
      </w:r>
      <w:r w:rsidRPr="005445BF">
        <w:rPr>
          <w:rFonts w:ascii="Times New Roman" w:hAnsi="Times New Roman" w:cs="Times New Roman"/>
          <w:szCs w:val="22"/>
          <w:lang w:val="en-GB"/>
        </w:rPr>
        <w:t xml:space="preserve"> </w:t>
      </w:r>
      <w:r w:rsidRPr="005445BF">
        <w:rPr>
          <w:rFonts w:ascii="Times New Roman" w:hAnsi="Times New Roman" w:cs="Times New Roman"/>
          <w:szCs w:val="22"/>
          <w:lang w:val="en-US"/>
        </w:rPr>
        <w:t>Even though a similar provision as now in MiFID II could be found in the MiFID I 2</w:t>
      </w:r>
      <w:r w:rsidRPr="005445BF">
        <w:rPr>
          <w:rFonts w:ascii="Times New Roman" w:hAnsi="Times New Roman" w:cs="Times New Roman"/>
          <w:szCs w:val="22"/>
          <w:vertAlign w:val="superscript"/>
          <w:lang w:val="en-US"/>
        </w:rPr>
        <w:t>nd</w:t>
      </w:r>
      <w:r w:rsidRPr="005445BF">
        <w:rPr>
          <w:rFonts w:ascii="Times New Roman" w:hAnsi="Times New Roman" w:cs="Times New Roman"/>
          <w:szCs w:val="22"/>
          <w:lang w:val="en-US"/>
        </w:rPr>
        <w:t xml:space="preserve"> level Implementing Directives, Art. 22(4), which was moved up to Level 1 in MiFID II, only a minority view under MiFID I held that disclosure has to be such that the mechanism how the conflict of interest works and why lack of neutrality has to be feared has to be disclosed: see namely, also already before introduction of  Level 2 legislation and based on the general principle of fiduciary duties: S. Grundmann (</w:t>
      </w:r>
      <w:r w:rsidRPr="005445BF">
        <w:rPr>
          <w:rFonts w:ascii="Times New Roman" w:hAnsi="Times New Roman" w:cs="Times New Roman"/>
          <w:szCs w:val="22"/>
          <w:lang w:val="en-GB"/>
        </w:rPr>
        <w:t xml:space="preserve">2015, n. VI 227 </w:t>
      </w:r>
      <w:r w:rsidRPr="005445BF">
        <w:rPr>
          <w:rFonts w:ascii="Times New Roman" w:hAnsi="Times New Roman" w:cs="Times New Roman"/>
          <w:szCs w:val="22"/>
          <w:lang w:val="en-US"/>
        </w:rPr>
        <w:t>already in the editions before and with further references).</w:t>
      </w:r>
    </w:p>
  </w:footnote>
  <w:footnote w:id="108">
    <w:p w14:paraId="5A883832" w14:textId="2C9E8B27"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rPr>
        <w:footnoteRef/>
      </w:r>
      <w:r w:rsidRPr="005445BF">
        <w:rPr>
          <w:rFonts w:ascii="Times New Roman" w:hAnsi="Times New Roman" w:cs="Times New Roman"/>
          <w:lang w:val="en-GB"/>
        </w:rPr>
        <w:t xml:space="preserve"> See G.A. Papaconstantinou (forthcoming, 2016); for the UK, see also </w:t>
      </w:r>
      <w:hyperlink r:id="rId1" w:history="1">
        <w:r w:rsidRPr="005445BF">
          <w:rPr>
            <w:rStyle w:val="Collegamentoipertestuale"/>
            <w:rFonts w:ascii="Times New Roman" w:hAnsi="Times New Roman" w:cs="Times New Roman"/>
            <w:lang w:val="en-GB"/>
          </w:rPr>
          <w:t>https://www.fca.org.uk/news/post-implementation-review-of-the-rdr</w:t>
        </w:r>
      </w:hyperlink>
      <w:r w:rsidRPr="005445BF">
        <w:rPr>
          <w:rFonts w:ascii="Times New Roman" w:hAnsi="Times New Roman" w:cs="Times New Roman"/>
          <w:lang w:val="en-GB"/>
        </w:rPr>
        <w:t xml:space="preserve">. For Germany, see short survey, also on the large number of decisions rendered by the Supreme Court on Inducements: </w:t>
      </w:r>
      <w:r w:rsidRPr="005445BF">
        <w:rPr>
          <w:rFonts w:ascii="Times New Roman" w:hAnsi="Times New Roman" w:cs="Times New Roman"/>
          <w:szCs w:val="22"/>
          <w:lang w:val="en-GB"/>
        </w:rPr>
        <w:t xml:space="preserve">S. Grundmann (2015: n. VI </w:t>
      </w:r>
      <w:r w:rsidRPr="005445BF">
        <w:rPr>
          <w:rFonts w:ascii="Times New Roman" w:hAnsi="Times New Roman" w:cs="Times New Roman"/>
          <w:szCs w:val="22"/>
          <w:highlight w:val="yellow"/>
          <w:lang w:val="en-GB"/>
        </w:rPr>
        <w:t xml:space="preserve">xxx and </w:t>
      </w:r>
      <w:r w:rsidRPr="005445BF">
        <w:rPr>
          <w:rFonts w:ascii="Times New Roman" w:hAnsi="Times New Roman" w:cs="Times New Roman"/>
          <w:szCs w:val="22"/>
          <w:highlight w:val="yellow"/>
          <w:lang w:val="en-US"/>
        </w:rPr>
        <w:t>xxx-xxx</w:t>
      </w:r>
      <w:r w:rsidRPr="005445BF">
        <w:rPr>
          <w:rFonts w:ascii="Times New Roman" w:hAnsi="Times New Roman" w:cs="Times New Roman"/>
          <w:szCs w:val="22"/>
          <w:lang w:val="en-US"/>
        </w:rPr>
        <w:t>).</w:t>
      </w:r>
      <w:r w:rsidRPr="005445BF">
        <w:rPr>
          <w:rFonts w:ascii="Times New Roman" w:hAnsi="Times New Roman" w:cs="Times New Roman"/>
          <w:lang w:val="en-GB"/>
        </w:rPr>
        <w:t xml:space="preserve"> </w:t>
      </w:r>
    </w:p>
  </w:footnote>
  <w:footnote w:id="109">
    <w:p w14:paraId="36E0CCED" w14:textId="5AB7B4E2"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rPr>
        <w:footnoteRef/>
      </w:r>
      <w:r w:rsidRPr="005445BF">
        <w:rPr>
          <w:rFonts w:ascii="Times New Roman" w:hAnsi="Times New Roman" w:cs="Times New Roman"/>
          <w:lang w:val="en-GB"/>
        </w:rPr>
        <w:t xml:space="preserve"> For a detailed analysis (including economic theory and policy assessment of the different parts of the new regime), see G.A. Papaconstantinou (last footnote) and S. Grundmann / Ph. Hacker (forthcoming, 2016: sub B. III).</w:t>
      </w:r>
    </w:p>
  </w:footnote>
  <w:footnote w:id="110">
    <w:p w14:paraId="2720BC67" w14:textId="5F4FC289"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The same applies also to the regulation of the creditworthiness assessment in the Consumer Credit Directive and in the Mortgage Credit Directive; see below section VI.</w:t>
      </w:r>
    </w:p>
  </w:footnote>
  <w:footnote w:id="111">
    <w:p w14:paraId="249851BE" w14:textId="58727EC5"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Köndgen (2011: 41-43).</w:t>
      </w:r>
    </w:p>
  </w:footnote>
  <w:footnote w:id="112">
    <w:p w14:paraId="71A5266F" w14:textId="1FF71197"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t>
      </w:r>
      <w:r w:rsidRPr="005445BF">
        <w:rPr>
          <w:rFonts w:ascii="Times New Roman" w:hAnsi="Times New Roman" w:cs="Times New Roman"/>
          <w:lang w:val="it-IT"/>
        </w:rPr>
        <w:t xml:space="preserve">Comparato (2015: 13). This is by no means an entirely novel problem. As early as 2005, Ramsay identified a problem of the credit market in the “exuberant lending” of financial entrepreneurs than cyclically and lead y competitive forces, expose themselves to an over-optimal level of risk; Ramsay (2005: </w:t>
      </w:r>
      <w:r w:rsidRPr="005445BF">
        <w:rPr>
          <w:rFonts w:ascii="Times New Roman" w:hAnsi="Times New Roman" w:cs="Times New Roman"/>
          <w:highlight w:val="yellow"/>
          <w:lang w:val="it-IT"/>
        </w:rPr>
        <w:t>15</w:t>
      </w:r>
      <w:r w:rsidRPr="005445BF">
        <w:rPr>
          <w:rFonts w:ascii="Times New Roman" w:hAnsi="Times New Roman" w:cs="Times New Roman"/>
          <w:lang w:val="it-IT"/>
        </w:rPr>
        <w:t>).</w:t>
      </w:r>
    </w:p>
  </w:footnote>
  <w:footnote w:id="113">
    <w:p w14:paraId="4D779FB9" w14:textId="6B7E4F47"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Recital (7).</w:t>
      </w:r>
    </w:p>
  </w:footnote>
  <w:footnote w:id="114">
    <w:p w14:paraId="217B952C" w14:textId="624FE566"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“The financial crisis has shown that irresponsible behaviour by market participants can undermine the foundations of the financial system, leading to a lack of confidence among all parties, in particular consumers, and potentially severe social and economic consequences”; Recital (3).</w:t>
      </w:r>
    </w:p>
  </w:footnote>
  <w:footnote w:id="115">
    <w:p w14:paraId="2A90945A" w14:textId="041C4BE7"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Recital (4).</w:t>
      </w:r>
    </w:p>
  </w:footnote>
  <w:footnote w:id="116">
    <w:p w14:paraId="713D80B0" w14:textId="4DC89F3C"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Recital (6).</w:t>
      </w:r>
    </w:p>
  </w:footnote>
  <w:footnote w:id="117">
    <w:p w14:paraId="241A34D7" w14:textId="373ED6BB"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Art. 4(26) and (27).</w:t>
      </w:r>
    </w:p>
  </w:footnote>
  <w:footnote w:id="118">
    <w:p w14:paraId="1DF26080" w14:textId="5B8744B0"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Note that usually consumer lawyers assume that the aim of responsible lending is the protection of consumers from over-indebtedness. See Domurath (2015: 155); Ferretti (2015: 349); Mak (2015: 411). In our view, creditworthiness assessment goes beyond the protection from over-indebtedness. As we discuss below, this does not mean that over-indebtedness is satisfactorily addressed by the current EU framework.</w:t>
      </w:r>
    </w:p>
  </w:footnote>
  <w:footnote w:id="119">
    <w:p w14:paraId="1BDCA158" w14:textId="3FEB1F4D"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For a review and a detailed discussion, see Ferretti (2015: 350-356). </w:t>
      </w:r>
    </w:p>
  </w:footnote>
  <w:footnote w:id="120">
    <w:p w14:paraId="6366B60B" w14:textId="0441F9CF"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World Bank (2013: 6).</w:t>
      </w:r>
    </w:p>
  </w:footnote>
  <w:footnote w:id="121">
    <w:p w14:paraId="45250B20" w14:textId="2F961AE8"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World Bank (2013: 34).</w:t>
      </w:r>
    </w:p>
  </w:footnote>
  <w:footnote w:id="122">
    <w:p w14:paraId="72C3939E" w14:textId="4FE89955"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World Bank (2013: 35). See also page 45, where the loan-to-value ratio is “seen as a risk-management tool for the lender … rather than a responsible lending tool”.</w:t>
      </w:r>
    </w:p>
  </w:footnote>
  <w:footnote w:id="123">
    <w:p w14:paraId="2EC57C0B" w14:textId="69F25E75"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World Bank (2013: 40). The same distinction can be found in the report on consumer credit written by Ipsos and London Economics (2013: 61).</w:t>
      </w:r>
    </w:p>
  </w:footnote>
  <w:footnote w:id="124">
    <w:p w14:paraId="5776BFE5" w14:textId="500BADE1"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Actually, more than a test about the consumer, this is a pure rule of conduct for the borrower.</w:t>
      </w:r>
    </w:p>
  </w:footnote>
  <w:footnote w:id="125">
    <w:p w14:paraId="7D5FE6D3" w14:textId="3D8BCCF7"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World Bank (2013: 42-43).</w:t>
      </w:r>
    </w:p>
  </w:footnote>
  <w:footnote w:id="126">
    <w:p w14:paraId="1273BD19" w14:textId="3600BB7C"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Case C-565/12, ECLI:EU:C:2014:190.</w:t>
      </w:r>
    </w:p>
  </w:footnote>
  <w:footnote w:id="127">
    <w:p w14:paraId="3530EB22" w14:textId="37743A47"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For a reconstruction, see Rott (2009: 184-187).</w:t>
      </w:r>
    </w:p>
  </w:footnote>
  <w:footnote w:id="128">
    <w:p w14:paraId="697A49AA" w14:textId="4348F80B"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It is in fact evident that, compared to the Unfair Terms and the Unfair Commercial Practices Directives, the CCD offers solutions more compatible with behavioural insights. </w:t>
      </w:r>
      <w:r w:rsidRPr="005445BF">
        <w:rPr>
          <w:rFonts w:ascii="Times New Roman" w:hAnsi="Times New Roman" w:cs="Times New Roman"/>
          <w:lang w:val="it-IT"/>
        </w:rPr>
        <w:t>For a brief comparison, see Esposito (forthcoming a).</w:t>
      </w:r>
    </w:p>
  </w:footnote>
  <w:footnote w:id="129">
    <w:p w14:paraId="51671786" w14:textId="6DC77835"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en-US"/>
        </w:rPr>
        <w:t>EBA Guidelines (2015: 7).</w:t>
      </w:r>
    </w:p>
  </w:footnote>
  <w:footnote w:id="130">
    <w:p w14:paraId="52BA0B32" w14:textId="1B4AC1AB"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Recital (55). See EBA Guidelines (2015: 10-11).</w:t>
      </w:r>
    </w:p>
  </w:footnote>
  <w:footnote w:id="131">
    <w:p w14:paraId="020D6EB5" w14:textId="006A05AB"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It would require a detailed discussion, but it suffices to note that in the MCD terms like preference and objective on the one hand and need and interest on the other hand, which refer to completely different notions of value, are used interchangeably. </w:t>
      </w:r>
    </w:p>
  </w:footnote>
  <w:footnote w:id="132">
    <w:p w14:paraId="6B7F3EF3" w14:textId="3208F9C0"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Informing the consumer about the risks of over-indebtedness is an example of responsible lending (Recital (26)).</w:t>
      </w:r>
    </w:p>
  </w:footnote>
  <w:footnote w:id="133">
    <w:p w14:paraId="7489F57E" w14:textId="179B5812"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Domurath (2015).</w:t>
      </w:r>
    </w:p>
  </w:footnote>
  <w:footnote w:id="134">
    <w:p w14:paraId="19E25829" w14:textId="6740992E" w:rsidR="007833EF" w:rsidRPr="005445BF" w:rsidRDefault="007833EF" w:rsidP="005445BF">
      <w:pPr>
        <w:pStyle w:val="Testonotaapidipagina"/>
        <w:jc w:val="both"/>
        <w:rPr>
          <w:rFonts w:ascii="Times New Roman" w:hAnsi="Times New Roman" w:cs="Times New Roman"/>
          <w:lang w:val="en-GB"/>
        </w:rPr>
      </w:pPr>
      <w:r w:rsidRPr="005445BF">
        <w:rPr>
          <w:rStyle w:val="Rimandonotaapidipagina"/>
          <w:rFonts w:ascii="Times New Roman" w:hAnsi="Times New Roman" w:cs="Times New Roman"/>
          <w:lang w:val="en-GB"/>
        </w:rPr>
        <w:footnoteRef/>
      </w:r>
      <w:r w:rsidRPr="005445BF">
        <w:rPr>
          <w:rFonts w:ascii="Times New Roman" w:hAnsi="Times New Roman" w:cs="Times New Roman"/>
          <w:lang w:val="en-GB"/>
        </w:rPr>
        <w:t xml:space="preserve"> Micklitz (2015: 230-231). </w:t>
      </w:r>
    </w:p>
  </w:footnote>
  <w:footnote w:id="135">
    <w:p w14:paraId="1ED12D63" w14:textId="1DF48C06"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Mak (2015) and Kempson (2015).</w:t>
      </w:r>
    </w:p>
  </w:footnote>
  <w:footnote w:id="136">
    <w:p w14:paraId="25F9A937" w14:textId="49AC7FEC"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Ipsos and London Economics (2013: 61).</w:t>
      </w:r>
    </w:p>
  </w:footnote>
  <w:footnote w:id="137">
    <w:p w14:paraId="3DF23D42" w14:textId="79B44DFB"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w:t>
      </w:r>
      <w:r w:rsidRPr="005445BF">
        <w:rPr>
          <w:rFonts w:ascii="Times New Roman" w:hAnsi="Times New Roman" w:cs="Times New Roman"/>
          <w:lang w:val="it-IT"/>
        </w:rPr>
        <w:t>Köndgen (2011: 44)</w:t>
      </w:r>
      <w:r w:rsidRPr="005445BF">
        <w:rPr>
          <w:rFonts w:ascii="Times New Roman" w:hAnsi="Times New Roman" w:cs="Times New Roman"/>
          <w:lang w:val="en-US"/>
        </w:rPr>
        <w:t>.</w:t>
      </w:r>
    </w:p>
  </w:footnote>
  <w:footnote w:id="138">
    <w:p w14:paraId="262405FB" w14:textId="1A828E0F"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See CCD87, Recitals (1)-(4); CCD, Recitals (4), (6) and (7); MCD, Recitals (3)-(6). </w:t>
      </w:r>
    </w:p>
  </w:footnote>
  <w:footnote w:id="139">
    <w:p w14:paraId="366A6931" w14:textId="05FDBC89"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Compare CCD87, Artt. 3-6 with CCD, Artt. 4-6, 10-12. 18-19, 21 and with MCD, Artt. 10, 11, 13-17, 20, 22-24, 27.</w:t>
      </w:r>
    </w:p>
  </w:footnote>
  <w:footnote w:id="140">
    <w:p w14:paraId="5BDC2FB8" w14:textId="70821BBC"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CCD, Recital (26); MCD, Art. 6.</w:t>
      </w:r>
    </w:p>
  </w:footnote>
  <w:footnote w:id="141">
    <w:p w14:paraId="5D724BC3" w14:textId="1128D151"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Art. 7(2)-(4).</w:t>
      </w:r>
    </w:p>
  </w:footnote>
  <w:footnote w:id="142">
    <w:p w14:paraId="580404A4" w14:textId="003DD1F8"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MCD, Art. 14(6). The CCD grants a right to withdraw of 14 days (Art. 14), while in the MCD the “evaluation period” is of 7 days only.</w:t>
      </w:r>
    </w:p>
  </w:footnote>
  <w:footnote w:id="143">
    <w:p w14:paraId="7727DFA8" w14:textId="7E8FF625"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Artt. 15(1) and 22.</w:t>
      </w:r>
    </w:p>
  </w:footnote>
  <w:footnote w:id="144">
    <w:p w14:paraId="5FC5F40A" w14:textId="73E2E37F"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The default mechanism in Art. 16 CCD is a compensation of either 0,5% or 1% of the early repaid credit, but it can be designed in a way that is even further to the advantage of the consumer. The right can also be tightened. In this case, the creditor can only claim the difference between the original interest rate and the rate available now on the market, plus administrative costs. The amount can never be higher than the original interest. Art. 25 MCD is vaguer. The right can be subject to limitations and the creditor may be “entitled to fair and objective compensation, where justified” that cannot be superior to “the financial loss of the creditor” (note that “financial loss” is not defined in the MCD).</w:t>
      </w:r>
    </w:p>
  </w:footnote>
  <w:footnote w:id="145">
    <w:p w14:paraId="16FEAE35" w14:textId="60BBBB82"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See MCD, Artt. 7, 12, 18, 19, 23, 25, 28.</w:t>
      </w:r>
    </w:p>
  </w:footnote>
  <w:footnote w:id="146">
    <w:p w14:paraId="2A9C2F39" w14:textId="193D6CD6"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Art. 18(5). The MCD does not specify the legal consequences of the breach of this duty. For an interesting comparative analysis of different solutions, see Atayer (2011).</w:t>
      </w:r>
    </w:p>
  </w:footnote>
  <w:footnote w:id="147">
    <w:p w14:paraId="626A658C" w14:textId="623E7B4B" w:rsidR="007833EF" w:rsidRPr="005445BF" w:rsidRDefault="007833EF" w:rsidP="005445BF">
      <w:pPr>
        <w:pStyle w:val="Testonotaapidipagina"/>
        <w:jc w:val="both"/>
        <w:rPr>
          <w:rFonts w:ascii="Times New Roman" w:hAnsi="Times New Roman" w:cs="Times New Roman"/>
          <w:lang w:val="en-US"/>
        </w:rPr>
      </w:pPr>
      <w:r w:rsidRPr="005445BF">
        <w:rPr>
          <w:rStyle w:val="Rimandonotaapidipagina"/>
          <w:rFonts w:ascii="Times New Roman" w:hAnsi="Times New Roman" w:cs="Times New Roman"/>
        </w:rPr>
        <w:footnoteRef/>
      </w:r>
      <w:r w:rsidRPr="005445BF">
        <w:rPr>
          <w:rFonts w:ascii="Times New Roman" w:hAnsi="Times New Roman" w:cs="Times New Roman"/>
          <w:lang w:val="en-US"/>
        </w:rPr>
        <w:t xml:space="preserve"> See, in particular, Artt. 12 and 22. </w:t>
      </w:r>
    </w:p>
  </w:footnote>
  <w:footnote w:id="148">
    <w:p w14:paraId="182477CC" w14:textId="3B370BEA"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Ferretti (2015: 362); Köndgen (2011: 49).</w:t>
      </w:r>
    </w:p>
  </w:footnote>
  <w:footnote w:id="149">
    <w:p w14:paraId="1908DD8F" w14:textId="03AB37A5" w:rsidR="007833EF" w:rsidRPr="005445BF" w:rsidRDefault="007833EF" w:rsidP="005445BF">
      <w:pPr>
        <w:pStyle w:val="Testonotaapidipagina"/>
        <w:jc w:val="both"/>
        <w:rPr>
          <w:rFonts w:ascii="Times New Roman" w:hAnsi="Times New Roman" w:cs="Times New Roman"/>
          <w:lang w:val="it-IT"/>
        </w:rPr>
      </w:pPr>
      <w:r w:rsidRPr="005445BF">
        <w:rPr>
          <w:rStyle w:val="Rimandonotaapidipagina"/>
          <w:rFonts w:ascii="Times New Roman" w:hAnsi="Times New Roman" w:cs="Times New Roman"/>
        </w:rPr>
        <w:footnoteRef/>
      </w:r>
      <w:r w:rsidRPr="005445BF">
        <w:rPr>
          <w:rFonts w:ascii="Times New Roman" w:hAnsi="Times New Roman" w:cs="Times New Roman"/>
        </w:rPr>
        <w:t xml:space="preserve"> </w:t>
      </w:r>
      <w:r w:rsidRPr="005445BF">
        <w:rPr>
          <w:rFonts w:ascii="Times New Roman" w:hAnsi="Times New Roman" w:cs="Times New Roman"/>
          <w:lang w:val="it-IT"/>
        </w:rPr>
        <w:t>Artt. 18(4) and 20(1).</w:t>
      </w:r>
    </w:p>
  </w:footnote>
  <w:footnote w:id="150">
    <w:p w14:paraId="25301FE3" w14:textId="2725C349"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Calabresi (2016: especially, 1-23).</w:t>
      </w:r>
      <w:r w:rsidR="00DB464B" w:rsidRPr="001547E0">
        <w:rPr>
          <w:rFonts w:ascii="Times New Roman" w:hAnsi="Times New Roman" w:cs="Times New Roman"/>
          <w:lang w:val="it-IT"/>
        </w:rPr>
        <w:t xml:space="preserve"> </w:t>
      </w:r>
      <w:r w:rsidR="00DB464B" w:rsidRPr="008745BD">
        <w:rPr>
          <w:rFonts w:ascii="Times New Roman" w:hAnsi="Times New Roman" w:cs="Times New Roman"/>
          <w:lang w:val="it-IT"/>
        </w:rPr>
        <w:t>For an insightful legal philosophical analysis of the distinction, see Chiassoni (forthcoming).</w:t>
      </w:r>
    </w:p>
  </w:footnote>
  <w:footnote w:id="151">
    <w:p w14:paraId="11E97645" w14:textId="73FE9F46"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For a survey and the development of new arguments, see Esposito (forthcoming: chapter 1).</w:t>
      </w:r>
    </w:p>
  </w:footnote>
  <w:footnote w:id="152">
    <w:p w14:paraId="7643CC28" w14:textId="6E423C4C"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On the former, see Bix (2013). On the latter, the challenge moved by Dworkin (1980: 219-223) to mainstream theory still has to be met. Arguably, the best attempt was offered by Kraus (2007). For a discussion, see Esposito (forthcoming: chapter 1).</w:t>
      </w:r>
    </w:p>
  </w:footnote>
  <w:footnote w:id="153">
    <w:p w14:paraId="045BD4E4" w14:textId="739C478B" w:rsidR="007833EF" w:rsidRPr="001547E0" w:rsidRDefault="007833EF">
      <w:pPr>
        <w:pStyle w:val="Testonotaapidipagina"/>
        <w:rPr>
          <w:rFonts w:ascii="Times New Roman" w:hAnsi="Times New Roman" w:cs="Times New Roman"/>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See Grundmann / Möslein / Reisenhuber</w:t>
      </w:r>
      <w:r w:rsidR="00A74307" w:rsidRPr="001547E0">
        <w:rPr>
          <w:rFonts w:ascii="Times New Roman" w:hAnsi="Times New Roman" w:cs="Times New Roman"/>
          <w:lang w:val="it-IT"/>
        </w:rPr>
        <w:t xml:space="preserve"> (2015)</w:t>
      </w:r>
      <w:r w:rsidRPr="001547E0">
        <w:rPr>
          <w:rFonts w:ascii="Times New Roman" w:hAnsi="Times New Roman" w:cs="Times New Roman"/>
          <w:lang w:val="it-IT"/>
        </w:rPr>
        <w:t>.</w:t>
      </w:r>
    </w:p>
  </w:footnote>
  <w:footnote w:id="154">
    <w:p w14:paraId="5DB4F122" w14:textId="6CE8C7E3" w:rsidR="007833EF" w:rsidRPr="001547E0" w:rsidRDefault="007833EF">
      <w:pPr>
        <w:pStyle w:val="Testonotaapidipagina"/>
        <w:rPr>
          <w:lang w:val="it-IT"/>
        </w:rPr>
      </w:pPr>
      <w:r w:rsidRPr="001547E0">
        <w:rPr>
          <w:rStyle w:val="Rimandonotaapidipagina"/>
          <w:rFonts w:ascii="Times New Roman" w:hAnsi="Times New Roman" w:cs="Times New Roman"/>
        </w:rPr>
        <w:footnoteRef/>
      </w:r>
      <w:r w:rsidRPr="001547E0">
        <w:rPr>
          <w:rFonts w:ascii="Times New Roman" w:hAnsi="Times New Roman" w:cs="Times New Roman"/>
        </w:rPr>
        <w:t xml:space="preserve"> </w:t>
      </w:r>
      <w:r w:rsidRPr="001547E0">
        <w:rPr>
          <w:rFonts w:ascii="Times New Roman" w:hAnsi="Times New Roman" w:cs="Times New Roman"/>
          <w:lang w:val="it-IT"/>
        </w:rPr>
        <w:t>See above, section III. 1, lett.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5AD2" w14:textId="343DE7AA" w:rsidR="007833EF" w:rsidRPr="004B75B0" w:rsidRDefault="007833EF">
    <w:pPr>
      <w:pStyle w:val="Intestazione"/>
      <w:rPr>
        <w:rFonts w:ascii="Times New Roman" w:hAnsi="Times New Roman" w:cs="Times New Roman"/>
        <w:lang w:val="it-IT"/>
      </w:rPr>
    </w:pPr>
    <w:r w:rsidRPr="004B75B0">
      <w:rPr>
        <w:rFonts w:ascii="Times New Roman" w:hAnsi="Times New Roman" w:cs="Times New Roman"/>
        <w:lang w:val="it-IT"/>
      </w:rPr>
      <w:t>Conference Draft: please comment, but do not quote.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CF8"/>
    <w:multiLevelType w:val="hybridMultilevel"/>
    <w:tmpl w:val="E7D8EF26"/>
    <w:lvl w:ilvl="0" w:tplc="AF840B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64EFA"/>
    <w:multiLevelType w:val="hybridMultilevel"/>
    <w:tmpl w:val="E2800794"/>
    <w:lvl w:ilvl="0" w:tplc="18664B44">
      <w:start w:val="1"/>
      <w:numFmt w:val="decimal"/>
      <w:lvlText w:val="%1."/>
      <w:lvlJc w:val="left"/>
      <w:pPr>
        <w:ind w:left="3207" w:hanging="360"/>
      </w:pPr>
      <w:rPr>
        <w:rFonts w:hint="default"/>
      </w:rPr>
    </w:lvl>
    <w:lvl w:ilvl="1" w:tplc="04100019" w:tentative="1">
      <w:start w:val="1"/>
      <w:numFmt w:val="lowerLetter"/>
      <w:lvlText w:val="%2."/>
      <w:lvlJc w:val="left"/>
      <w:pPr>
        <w:ind w:left="3927" w:hanging="360"/>
      </w:pPr>
    </w:lvl>
    <w:lvl w:ilvl="2" w:tplc="0410001B" w:tentative="1">
      <w:start w:val="1"/>
      <w:numFmt w:val="lowerRoman"/>
      <w:lvlText w:val="%3."/>
      <w:lvlJc w:val="right"/>
      <w:pPr>
        <w:ind w:left="4647" w:hanging="180"/>
      </w:pPr>
    </w:lvl>
    <w:lvl w:ilvl="3" w:tplc="0410000F" w:tentative="1">
      <w:start w:val="1"/>
      <w:numFmt w:val="decimal"/>
      <w:lvlText w:val="%4."/>
      <w:lvlJc w:val="left"/>
      <w:pPr>
        <w:ind w:left="5367" w:hanging="360"/>
      </w:pPr>
    </w:lvl>
    <w:lvl w:ilvl="4" w:tplc="04100019" w:tentative="1">
      <w:start w:val="1"/>
      <w:numFmt w:val="lowerLetter"/>
      <w:lvlText w:val="%5."/>
      <w:lvlJc w:val="left"/>
      <w:pPr>
        <w:ind w:left="6087" w:hanging="360"/>
      </w:pPr>
    </w:lvl>
    <w:lvl w:ilvl="5" w:tplc="0410001B" w:tentative="1">
      <w:start w:val="1"/>
      <w:numFmt w:val="lowerRoman"/>
      <w:lvlText w:val="%6."/>
      <w:lvlJc w:val="right"/>
      <w:pPr>
        <w:ind w:left="6807" w:hanging="180"/>
      </w:pPr>
    </w:lvl>
    <w:lvl w:ilvl="6" w:tplc="0410000F" w:tentative="1">
      <w:start w:val="1"/>
      <w:numFmt w:val="decimal"/>
      <w:lvlText w:val="%7."/>
      <w:lvlJc w:val="left"/>
      <w:pPr>
        <w:ind w:left="7527" w:hanging="360"/>
      </w:pPr>
    </w:lvl>
    <w:lvl w:ilvl="7" w:tplc="04100019" w:tentative="1">
      <w:start w:val="1"/>
      <w:numFmt w:val="lowerLetter"/>
      <w:lvlText w:val="%8."/>
      <w:lvlJc w:val="left"/>
      <w:pPr>
        <w:ind w:left="8247" w:hanging="360"/>
      </w:pPr>
    </w:lvl>
    <w:lvl w:ilvl="8" w:tplc="0410001B" w:tentative="1">
      <w:start w:val="1"/>
      <w:numFmt w:val="lowerRoman"/>
      <w:lvlText w:val="%9."/>
      <w:lvlJc w:val="right"/>
      <w:pPr>
        <w:ind w:left="8967" w:hanging="180"/>
      </w:pPr>
    </w:lvl>
  </w:abstractNum>
  <w:abstractNum w:abstractNumId="2" w15:restartNumberingAfterBreak="0">
    <w:nsid w:val="1ECA4FB9"/>
    <w:multiLevelType w:val="hybridMultilevel"/>
    <w:tmpl w:val="18524872"/>
    <w:lvl w:ilvl="0" w:tplc="E400520C">
      <w:start w:val="1"/>
      <w:numFmt w:val="decimal"/>
      <w:lvlText w:val="%1."/>
      <w:lvlJc w:val="left"/>
      <w:pPr>
        <w:ind w:left="3207" w:hanging="360"/>
      </w:pPr>
      <w:rPr>
        <w:rFonts w:hint="default"/>
      </w:rPr>
    </w:lvl>
    <w:lvl w:ilvl="1" w:tplc="04100019" w:tentative="1">
      <w:start w:val="1"/>
      <w:numFmt w:val="lowerLetter"/>
      <w:lvlText w:val="%2."/>
      <w:lvlJc w:val="left"/>
      <w:pPr>
        <w:ind w:left="3927" w:hanging="360"/>
      </w:pPr>
    </w:lvl>
    <w:lvl w:ilvl="2" w:tplc="0410001B" w:tentative="1">
      <w:start w:val="1"/>
      <w:numFmt w:val="lowerRoman"/>
      <w:lvlText w:val="%3."/>
      <w:lvlJc w:val="right"/>
      <w:pPr>
        <w:ind w:left="4647" w:hanging="180"/>
      </w:pPr>
    </w:lvl>
    <w:lvl w:ilvl="3" w:tplc="0410000F" w:tentative="1">
      <w:start w:val="1"/>
      <w:numFmt w:val="decimal"/>
      <w:lvlText w:val="%4."/>
      <w:lvlJc w:val="left"/>
      <w:pPr>
        <w:ind w:left="5367" w:hanging="360"/>
      </w:pPr>
    </w:lvl>
    <w:lvl w:ilvl="4" w:tplc="04100019" w:tentative="1">
      <w:start w:val="1"/>
      <w:numFmt w:val="lowerLetter"/>
      <w:lvlText w:val="%5."/>
      <w:lvlJc w:val="left"/>
      <w:pPr>
        <w:ind w:left="6087" w:hanging="360"/>
      </w:pPr>
    </w:lvl>
    <w:lvl w:ilvl="5" w:tplc="0410001B" w:tentative="1">
      <w:start w:val="1"/>
      <w:numFmt w:val="lowerRoman"/>
      <w:lvlText w:val="%6."/>
      <w:lvlJc w:val="right"/>
      <w:pPr>
        <w:ind w:left="6807" w:hanging="180"/>
      </w:pPr>
    </w:lvl>
    <w:lvl w:ilvl="6" w:tplc="0410000F" w:tentative="1">
      <w:start w:val="1"/>
      <w:numFmt w:val="decimal"/>
      <w:lvlText w:val="%7."/>
      <w:lvlJc w:val="left"/>
      <w:pPr>
        <w:ind w:left="7527" w:hanging="360"/>
      </w:pPr>
    </w:lvl>
    <w:lvl w:ilvl="7" w:tplc="04100019" w:tentative="1">
      <w:start w:val="1"/>
      <w:numFmt w:val="lowerLetter"/>
      <w:lvlText w:val="%8."/>
      <w:lvlJc w:val="left"/>
      <w:pPr>
        <w:ind w:left="8247" w:hanging="360"/>
      </w:pPr>
    </w:lvl>
    <w:lvl w:ilvl="8" w:tplc="0410001B" w:tentative="1">
      <w:start w:val="1"/>
      <w:numFmt w:val="lowerRoman"/>
      <w:lvlText w:val="%9."/>
      <w:lvlJc w:val="right"/>
      <w:pPr>
        <w:ind w:left="8967" w:hanging="180"/>
      </w:pPr>
    </w:lvl>
  </w:abstractNum>
  <w:abstractNum w:abstractNumId="3" w15:restartNumberingAfterBreak="0">
    <w:nsid w:val="23535CE7"/>
    <w:multiLevelType w:val="hybridMultilevel"/>
    <w:tmpl w:val="385C6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2B3EAD"/>
    <w:multiLevelType w:val="hybridMultilevel"/>
    <w:tmpl w:val="1B700C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DA2B75"/>
    <w:multiLevelType w:val="hybridMultilevel"/>
    <w:tmpl w:val="9214A55C"/>
    <w:lvl w:ilvl="0" w:tplc="70EA3D64">
      <w:start w:val="1"/>
      <w:numFmt w:val="upperRoman"/>
      <w:lvlText w:val="%1."/>
      <w:lvlJc w:val="left"/>
      <w:pPr>
        <w:ind w:left="2847" w:hanging="72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6" w15:restartNumberingAfterBreak="0">
    <w:nsid w:val="36AE016C"/>
    <w:multiLevelType w:val="hybridMultilevel"/>
    <w:tmpl w:val="40E63D2E"/>
    <w:lvl w:ilvl="0" w:tplc="C666B460">
      <w:start w:val="1"/>
      <w:numFmt w:val="decimal"/>
      <w:lvlText w:val="%1."/>
      <w:lvlJc w:val="left"/>
      <w:pPr>
        <w:ind w:left="3207" w:hanging="360"/>
      </w:pPr>
      <w:rPr>
        <w:rFonts w:hint="default"/>
      </w:rPr>
    </w:lvl>
    <w:lvl w:ilvl="1" w:tplc="04070019" w:tentative="1">
      <w:start w:val="1"/>
      <w:numFmt w:val="lowerLetter"/>
      <w:lvlText w:val="%2."/>
      <w:lvlJc w:val="left"/>
      <w:pPr>
        <w:ind w:left="3927" w:hanging="360"/>
      </w:pPr>
    </w:lvl>
    <w:lvl w:ilvl="2" w:tplc="0407001B" w:tentative="1">
      <w:start w:val="1"/>
      <w:numFmt w:val="lowerRoman"/>
      <w:lvlText w:val="%3."/>
      <w:lvlJc w:val="right"/>
      <w:pPr>
        <w:ind w:left="4647" w:hanging="180"/>
      </w:pPr>
    </w:lvl>
    <w:lvl w:ilvl="3" w:tplc="0407000F" w:tentative="1">
      <w:start w:val="1"/>
      <w:numFmt w:val="decimal"/>
      <w:lvlText w:val="%4."/>
      <w:lvlJc w:val="left"/>
      <w:pPr>
        <w:ind w:left="5367" w:hanging="360"/>
      </w:pPr>
    </w:lvl>
    <w:lvl w:ilvl="4" w:tplc="04070019" w:tentative="1">
      <w:start w:val="1"/>
      <w:numFmt w:val="lowerLetter"/>
      <w:lvlText w:val="%5."/>
      <w:lvlJc w:val="left"/>
      <w:pPr>
        <w:ind w:left="6087" w:hanging="360"/>
      </w:pPr>
    </w:lvl>
    <w:lvl w:ilvl="5" w:tplc="0407001B" w:tentative="1">
      <w:start w:val="1"/>
      <w:numFmt w:val="lowerRoman"/>
      <w:lvlText w:val="%6."/>
      <w:lvlJc w:val="right"/>
      <w:pPr>
        <w:ind w:left="6807" w:hanging="180"/>
      </w:pPr>
    </w:lvl>
    <w:lvl w:ilvl="6" w:tplc="0407000F" w:tentative="1">
      <w:start w:val="1"/>
      <w:numFmt w:val="decimal"/>
      <w:lvlText w:val="%7."/>
      <w:lvlJc w:val="left"/>
      <w:pPr>
        <w:ind w:left="7527" w:hanging="360"/>
      </w:pPr>
    </w:lvl>
    <w:lvl w:ilvl="7" w:tplc="04070019" w:tentative="1">
      <w:start w:val="1"/>
      <w:numFmt w:val="lowerLetter"/>
      <w:lvlText w:val="%8."/>
      <w:lvlJc w:val="left"/>
      <w:pPr>
        <w:ind w:left="8247" w:hanging="360"/>
      </w:pPr>
    </w:lvl>
    <w:lvl w:ilvl="8" w:tplc="0407001B" w:tentative="1">
      <w:start w:val="1"/>
      <w:numFmt w:val="lowerRoman"/>
      <w:lvlText w:val="%9."/>
      <w:lvlJc w:val="right"/>
      <w:pPr>
        <w:ind w:left="8967" w:hanging="180"/>
      </w:pPr>
    </w:lvl>
  </w:abstractNum>
  <w:abstractNum w:abstractNumId="7" w15:restartNumberingAfterBreak="0">
    <w:nsid w:val="4E1B26CB"/>
    <w:multiLevelType w:val="hybridMultilevel"/>
    <w:tmpl w:val="C090D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E0107A"/>
    <w:multiLevelType w:val="hybridMultilevel"/>
    <w:tmpl w:val="0B66C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FD2D39"/>
    <w:multiLevelType w:val="hybridMultilevel"/>
    <w:tmpl w:val="9214A55C"/>
    <w:lvl w:ilvl="0" w:tplc="70EA3D64">
      <w:start w:val="1"/>
      <w:numFmt w:val="upperRoman"/>
      <w:lvlText w:val="%1."/>
      <w:lvlJc w:val="left"/>
      <w:pPr>
        <w:ind w:left="2847" w:hanging="72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0" w15:restartNumberingAfterBreak="0">
    <w:nsid w:val="6A9112F9"/>
    <w:multiLevelType w:val="hybridMultilevel"/>
    <w:tmpl w:val="9B56CD82"/>
    <w:lvl w:ilvl="0" w:tplc="A6C08EEE">
      <w:start w:val="6"/>
      <w:numFmt w:val="bullet"/>
      <w:lvlText w:val="-"/>
      <w:lvlJc w:val="left"/>
      <w:pPr>
        <w:ind w:left="720" w:hanging="360"/>
      </w:pPr>
      <w:rPr>
        <w:rFonts w:ascii="Times New Roman" w:eastAsia="Times New Roman" w:hAnsi="Times New Roman" w:cs="Times New Roman"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73572A"/>
    <w:multiLevelType w:val="hybridMultilevel"/>
    <w:tmpl w:val="9214A55C"/>
    <w:lvl w:ilvl="0" w:tplc="70EA3D64">
      <w:start w:val="1"/>
      <w:numFmt w:val="upperRoman"/>
      <w:lvlText w:val="%1."/>
      <w:lvlJc w:val="left"/>
      <w:pPr>
        <w:ind w:left="2847" w:hanging="72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num w:numId="1">
    <w:abstractNumId w:val="11"/>
  </w:num>
  <w:num w:numId="2">
    <w:abstractNumId w:val="0"/>
  </w:num>
  <w:num w:numId="3">
    <w:abstractNumId w:val="9"/>
  </w:num>
  <w:num w:numId="4">
    <w:abstractNumId w:val="5"/>
  </w:num>
  <w:num w:numId="5">
    <w:abstractNumId w:val="10"/>
  </w:num>
  <w:num w:numId="6">
    <w:abstractNumId w:val="7"/>
  </w:num>
  <w:num w:numId="7">
    <w:abstractNumId w:val="3"/>
  </w:num>
  <w:num w:numId="8">
    <w:abstractNumId w:val="8"/>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20"/>
    <w:rsid w:val="00015B53"/>
    <w:rsid w:val="00017A7C"/>
    <w:rsid w:val="00023861"/>
    <w:rsid w:val="00024DDD"/>
    <w:rsid w:val="00025E48"/>
    <w:rsid w:val="00026086"/>
    <w:rsid w:val="000350BB"/>
    <w:rsid w:val="0004058D"/>
    <w:rsid w:val="0004751D"/>
    <w:rsid w:val="00050B05"/>
    <w:rsid w:val="00054D2A"/>
    <w:rsid w:val="00057B7A"/>
    <w:rsid w:val="000738DC"/>
    <w:rsid w:val="000754FA"/>
    <w:rsid w:val="00076959"/>
    <w:rsid w:val="0008280B"/>
    <w:rsid w:val="00082884"/>
    <w:rsid w:val="00086F2E"/>
    <w:rsid w:val="00087A07"/>
    <w:rsid w:val="00095220"/>
    <w:rsid w:val="000A1CB2"/>
    <w:rsid w:val="000A3DFE"/>
    <w:rsid w:val="000B15F8"/>
    <w:rsid w:val="000B5978"/>
    <w:rsid w:val="000B7737"/>
    <w:rsid w:val="000C1282"/>
    <w:rsid w:val="000D03F6"/>
    <w:rsid w:val="000D04AC"/>
    <w:rsid w:val="000D2481"/>
    <w:rsid w:val="000D474D"/>
    <w:rsid w:val="000E0BCA"/>
    <w:rsid w:val="000E43AA"/>
    <w:rsid w:val="000F4A31"/>
    <w:rsid w:val="00111DBB"/>
    <w:rsid w:val="00111E99"/>
    <w:rsid w:val="001220B9"/>
    <w:rsid w:val="001435D0"/>
    <w:rsid w:val="0014441D"/>
    <w:rsid w:val="001459D1"/>
    <w:rsid w:val="001501B1"/>
    <w:rsid w:val="00150901"/>
    <w:rsid w:val="001520B9"/>
    <w:rsid w:val="001547E0"/>
    <w:rsid w:val="00160DF5"/>
    <w:rsid w:val="00161C5A"/>
    <w:rsid w:val="0017569C"/>
    <w:rsid w:val="0018185D"/>
    <w:rsid w:val="001827D5"/>
    <w:rsid w:val="00184DE7"/>
    <w:rsid w:val="00186A15"/>
    <w:rsid w:val="0019311C"/>
    <w:rsid w:val="001B021E"/>
    <w:rsid w:val="001B6195"/>
    <w:rsid w:val="001D04DA"/>
    <w:rsid w:val="001D2A4E"/>
    <w:rsid w:val="001D5DD6"/>
    <w:rsid w:val="001D6927"/>
    <w:rsid w:val="001E6435"/>
    <w:rsid w:val="001E7A24"/>
    <w:rsid w:val="001E7A38"/>
    <w:rsid w:val="001F1883"/>
    <w:rsid w:val="0020096B"/>
    <w:rsid w:val="0020199C"/>
    <w:rsid w:val="00202E42"/>
    <w:rsid w:val="00204747"/>
    <w:rsid w:val="002071C2"/>
    <w:rsid w:val="00215F01"/>
    <w:rsid w:val="00226574"/>
    <w:rsid w:val="002316B2"/>
    <w:rsid w:val="00241248"/>
    <w:rsid w:val="0025384E"/>
    <w:rsid w:val="002610A1"/>
    <w:rsid w:val="00273FEA"/>
    <w:rsid w:val="0027409C"/>
    <w:rsid w:val="00274F5A"/>
    <w:rsid w:val="00284DE7"/>
    <w:rsid w:val="002852FA"/>
    <w:rsid w:val="00287D4B"/>
    <w:rsid w:val="002911D1"/>
    <w:rsid w:val="002A0B01"/>
    <w:rsid w:val="002A2435"/>
    <w:rsid w:val="002A676D"/>
    <w:rsid w:val="002B2514"/>
    <w:rsid w:val="002C14B1"/>
    <w:rsid w:val="002C3E55"/>
    <w:rsid w:val="002C7F34"/>
    <w:rsid w:val="002D141B"/>
    <w:rsid w:val="002D1E77"/>
    <w:rsid w:val="002D5276"/>
    <w:rsid w:val="002D5D38"/>
    <w:rsid w:val="002D6D50"/>
    <w:rsid w:val="002E0C43"/>
    <w:rsid w:val="002E0DAD"/>
    <w:rsid w:val="002E1CA2"/>
    <w:rsid w:val="002E743D"/>
    <w:rsid w:val="002F09A9"/>
    <w:rsid w:val="002F09AD"/>
    <w:rsid w:val="002F3300"/>
    <w:rsid w:val="002F61A9"/>
    <w:rsid w:val="002F672B"/>
    <w:rsid w:val="0030664D"/>
    <w:rsid w:val="00312BBA"/>
    <w:rsid w:val="00317796"/>
    <w:rsid w:val="00326F51"/>
    <w:rsid w:val="0033325C"/>
    <w:rsid w:val="00333BB8"/>
    <w:rsid w:val="00335669"/>
    <w:rsid w:val="003410DE"/>
    <w:rsid w:val="00351A9A"/>
    <w:rsid w:val="00354707"/>
    <w:rsid w:val="00357886"/>
    <w:rsid w:val="00357BB6"/>
    <w:rsid w:val="00373A60"/>
    <w:rsid w:val="00375AFF"/>
    <w:rsid w:val="00383179"/>
    <w:rsid w:val="0038441A"/>
    <w:rsid w:val="003860D6"/>
    <w:rsid w:val="003A0246"/>
    <w:rsid w:val="003A4D2E"/>
    <w:rsid w:val="003A4EDE"/>
    <w:rsid w:val="003B7D33"/>
    <w:rsid w:val="003E7CE2"/>
    <w:rsid w:val="003F004E"/>
    <w:rsid w:val="003F0921"/>
    <w:rsid w:val="00401D74"/>
    <w:rsid w:val="0040607E"/>
    <w:rsid w:val="0040797C"/>
    <w:rsid w:val="004103F5"/>
    <w:rsid w:val="00413220"/>
    <w:rsid w:val="00421D39"/>
    <w:rsid w:val="004244F0"/>
    <w:rsid w:val="00427B06"/>
    <w:rsid w:val="00431D43"/>
    <w:rsid w:val="004366D3"/>
    <w:rsid w:val="00437AE0"/>
    <w:rsid w:val="0044195E"/>
    <w:rsid w:val="00454360"/>
    <w:rsid w:val="0045632C"/>
    <w:rsid w:val="004567DC"/>
    <w:rsid w:val="00470836"/>
    <w:rsid w:val="00472284"/>
    <w:rsid w:val="004726B6"/>
    <w:rsid w:val="0047349A"/>
    <w:rsid w:val="004800CC"/>
    <w:rsid w:val="00481915"/>
    <w:rsid w:val="00497A81"/>
    <w:rsid w:val="004A4B52"/>
    <w:rsid w:val="004B2989"/>
    <w:rsid w:val="004B3326"/>
    <w:rsid w:val="004B4770"/>
    <w:rsid w:val="004B75B0"/>
    <w:rsid w:val="004C0F49"/>
    <w:rsid w:val="004C3659"/>
    <w:rsid w:val="004C57B0"/>
    <w:rsid w:val="004D012C"/>
    <w:rsid w:val="004E48D5"/>
    <w:rsid w:val="004F5B23"/>
    <w:rsid w:val="005035C9"/>
    <w:rsid w:val="00506CE7"/>
    <w:rsid w:val="0051688B"/>
    <w:rsid w:val="00520105"/>
    <w:rsid w:val="00531667"/>
    <w:rsid w:val="00532113"/>
    <w:rsid w:val="00532DE8"/>
    <w:rsid w:val="0053661F"/>
    <w:rsid w:val="005445BF"/>
    <w:rsid w:val="00547DF8"/>
    <w:rsid w:val="005536AD"/>
    <w:rsid w:val="005672DE"/>
    <w:rsid w:val="005674D7"/>
    <w:rsid w:val="00571124"/>
    <w:rsid w:val="00571860"/>
    <w:rsid w:val="00573C44"/>
    <w:rsid w:val="00583C1B"/>
    <w:rsid w:val="00583FB3"/>
    <w:rsid w:val="005873F2"/>
    <w:rsid w:val="005923E6"/>
    <w:rsid w:val="00592D7A"/>
    <w:rsid w:val="005959E6"/>
    <w:rsid w:val="005A0AA4"/>
    <w:rsid w:val="005A3543"/>
    <w:rsid w:val="005A7108"/>
    <w:rsid w:val="005B79EF"/>
    <w:rsid w:val="005C00F8"/>
    <w:rsid w:val="005C15F6"/>
    <w:rsid w:val="005D1383"/>
    <w:rsid w:val="005D7C5A"/>
    <w:rsid w:val="005E4BFF"/>
    <w:rsid w:val="005E7A89"/>
    <w:rsid w:val="005F62A2"/>
    <w:rsid w:val="00600C27"/>
    <w:rsid w:val="0060553D"/>
    <w:rsid w:val="00606240"/>
    <w:rsid w:val="0060682B"/>
    <w:rsid w:val="00606CD7"/>
    <w:rsid w:val="00613D21"/>
    <w:rsid w:val="006230A2"/>
    <w:rsid w:val="00633503"/>
    <w:rsid w:val="006412DC"/>
    <w:rsid w:val="00641C3B"/>
    <w:rsid w:val="00642F14"/>
    <w:rsid w:val="006570AA"/>
    <w:rsid w:val="0067023A"/>
    <w:rsid w:val="00674DC5"/>
    <w:rsid w:val="00684D72"/>
    <w:rsid w:val="006850A8"/>
    <w:rsid w:val="00693262"/>
    <w:rsid w:val="00693644"/>
    <w:rsid w:val="006A4EFC"/>
    <w:rsid w:val="006B0422"/>
    <w:rsid w:val="006B07E9"/>
    <w:rsid w:val="006C1906"/>
    <w:rsid w:val="006C1FE7"/>
    <w:rsid w:val="006C437D"/>
    <w:rsid w:val="006E33C3"/>
    <w:rsid w:val="006E3794"/>
    <w:rsid w:val="006E40E0"/>
    <w:rsid w:val="006E4190"/>
    <w:rsid w:val="006E6CDF"/>
    <w:rsid w:val="006F5314"/>
    <w:rsid w:val="006F7614"/>
    <w:rsid w:val="0070058B"/>
    <w:rsid w:val="00704D8D"/>
    <w:rsid w:val="00707224"/>
    <w:rsid w:val="00714D13"/>
    <w:rsid w:val="007248F6"/>
    <w:rsid w:val="0073027F"/>
    <w:rsid w:val="00743743"/>
    <w:rsid w:val="0075407B"/>
    <w:rsid w:val="00761B80"/>
    <w:rsid w:val="00761FED"/>
    <w:rsid w:val="00767588"/>
    <w:rsid w:val="0077428A"/>
    <w:rsid w:val="007825E7"/>
    <w:rsid w:val="007833EF"/>
    <w:rsid w:val="0078716B"/>
    <w:rsid w:val="007B4635"/>
    <w:rsid w:val="007B47EC"/>
    <w:rsid w:val="007B6C5C"/>
    <w:rsid w:val="007C6EF8"/>
    <w:rsid w:val="007C6FD4"/>
    <w:rsid w:val="007D0830"/>
    <w:rsid w:val="007D140A"/>
    <w:rsid w:val="007D1863"/>
    <w:rsid w:val="007E0575"/>
    <w:rsid w:val="007E063F"/>
    <w:rsid w:val="007E74E3"/>
    <w:rsid w:val="007E7B3E"/>
    <w:rsid w:val="007E7E9A"/>
    <w:rsid w:val="007F638D"/>
    <w:rsid w:val="00812542"/>
    <w:rsid w:val="00817706"/>
    <w:rsid w:val="0083242E"/>
    <w:rsid w:val="008335E7"/>
    <w:rsid w:val="00834CDE"/>
    <w:rsid w:val="00841DB0"/>
    <w:rsid w:val="0084359E"/>
    <w:rsid w:val="0084626F"/>
    <w:rsid w:val="00855147"/>
    <w:rsid w:val="00864CB9"/>
    <w:rsid w:val="00864F36"/>
    <w:rsid w:val="008661D7"/>
    <w:rsid w:val="008745BD"/>
    <w:rsid w:val="00880814"/>
    <w:rsid w:val="00883A79"/>
    <w:rsid w:val="0088614D"/>
    <w:rsid w:val="00887836"/>
    <w:rsid w:val="008900BE"/>
    <w:rsid w:val="008906D8"/>
    <w:rsid w:val="00891FE8"/>
    <w:rsid w:val="00893859"/>
    <w:rsid w:val="008A0CFB"/>
    <w:rsid w:val="008A1253"/>
    <w:rsid w:val="008B3D73"/>
    <w:rsid w:val="008B544F"/>
    <w:rsid w:val="008B5BFC"/>
    <w:rsid w:val="008C019A"/>
    <w:rsid w:val="008E38C8"/>
    <w:rsid w:val="008E3B0C"/>
    <w:rsid w:val="008E4A29"/>
    <w:rsid w:val="008E6FC3"/>
    <w:rsid w:val="008E7653"/>
    <w:rsid w:val="008F1AB5"/>
    <w:rsid w:val="008F4879"/>
    <w:rsid w:val="008F5B87"/>
    <w:rsid w:val="008F66A9"/>
    <w:rsid w:val="00900545"/>
    <w:rsid w:val="00910DB1"/>
    <w:rsid w:val="00921F5F"/>
    <w:rsid w:val="009229A7"/>
    <w:rsid w:val="0092591C"/>
    <w:rsid w:val="00930768"/>
    <w:rsid w:val="00933929"/>
    <w:rsid w:val="009341B4"/>
    <w:rsid w:val="009342DB"/>
    <w:rsid w:val="00940BFF"/>
    <w:rsid w:val="0094198C"/>
    <w:rsid w:val="00950313"/>
    <w:rsid w:val="009563ED"/>
    <w:rsid w:val="00960710"/>
    <w:rsid w:val="00962BF6"/>
    <w:rsid w:val="009643D6"/>
    <w:rsid w:val="009706E0"/>
    <w:rsid w:val="00986027"/>
    <w:rsid w:val="00991376"/>
    <w:rsid w:val="009A1AA9"/>
    <w:rsid w:val="009B351F"/>
    <w:rsid w:val="009C0261"/>
    <w:rsid w:val="009E1650"/>
    <w:rsid w:val="009E2060"/>
    <w:rsid w:val="009F453B"/>
    <w:rsid w:val="009F478D"/>
    <w:rsid w:val="00A043E7"/>
    <w:rsid w:val="00A12550"/>
    <w:rsid w:val="00A127F9"/>
    <w:rsid w:val="00A276AE"/>
    <w:rsid w:val="00A45192"/>
    <w:rsid w:val="00A456D5"/>
    <w:rsid w:val="00A46104"/>
    <w:rsid w:val="00A5259E"/>
    <w:rsid w:val="00A63E40"/>
    <w:rsid w:val="00A64CBB"/>
    <w:rsid w:val="00A65A17"/>
    <w:rsid w:val="00A74307"/>
    <w:rsid w:val="00A901D6"/>
    <w:rsid w:val="00AC0611"/>
    <w:rsid w:val="00AC7A4F"/>
    <w:rsid w:val="00AD4621"/>
    <w:rsid w:val="00AD63F3"/>
    <w:rsid w:val="00AE1B9C"/>
    <w:rsid w:val="00AE2D43"/>
    <w:rsid w:val="00AE36B0"/>
    <w:rsid w:val="00AE67E4"/>
    <w:rsid w:val="00AF3EB1"/>
    <w:rsid w:val="00B16EF3"/>
    <w:rsid w:val="00B21274"/>
    <w:rsid w:val="00B2561A"/>
    <w:rsid w:val="00B30153"/>
    <w:rsid w:val="00B44383"/>
    <w:rsid w:val="00B70B0F"/>
    <w:rsid w:val="00B76D61"/>
    <w:rsid w:val="00B82F08"/>
    <w:rsid w:val="00B83653"/>
    <w:rsid w:val="00B93C8D"/>
    <w:rsid w:val="00B94EE4"/>
    <w:rsid w:val="00B97FB9"/>
    <w:rsid w:val="00BA13F1"/>
    <w:rsid w:val="00BB6245"/>
    <w:rsid w:val="00BD1376"/>
    <w:rsid w:val="00BD4659"/>
    <w:rsid w:val="00BD657F"/>
    <w:rsid w:val="00BD7C02"/>
    <w:rsid w:val="00BE108C"/>
    <w:rsid w:val="00BE3C58"/>
    <w:rsid w:val="00BE7CF2"/>
    <w:rsid w:val="00BF2999"/>
    <w:rsid w:val="00C05F8F"/>
    <w:rsid w:val="00C06B3C"/>
    <w:rsid w:val="00C20D20"/>
    <w:rsid w:val="00C218CB"/>
    <w:rsid w:val="00C21E66"/>
    <w:rsid w:val="00C30116"/>
    <w:rsid w:val="00C36355"/>
    <w:rsid w:val="00C476E4"/>
    <w:rsid w:val="00C47F0E"/>
    <w:rsid w:val="00C51B87"/>
    <w:rsid w:val="00C54502"/>
    <w:rsid w:val="00C54A48"/>
    <w:rsid w:val="00C60652"/>
    <w:rsid w:val="00C638E2"/>
    <w:rsid w:val="00C66699"/>
    <w:rsid w:val="00C73F31"/>
    <w:rsid w:val="00C74057"/>
    <w:rsid w:val="00C74DEF"/>
    <w:rsid w:val="00C81617"/>
    <w:rsid w:val="00C84BFC"/>
    <w:rsid w:val="00C97029"/>
    <w:rsid w:val="00C97827"/>
    <w:rsid w:val="00CB65FA"/>
    <w:rsid w:val="00CC708C"/>
    <w:rsid w:val="00CD615F"/>
    <w:rsid w:val="00CE1CB6"/>
    <w:rsid w:val="00CE6A10"/>
    <w:rsid w:val="00CF1EB0"/>
    <w:rsid w:val="00CF5389"/>
    <w:rsid w:val="00CF7B8E"/>
    <w:rsid w:val="00D008D8"/>
    <w:rsid w:val="00D10186"/>
    <w:rsid w:val="00D12176"/>
    <w:rsid w:val="00D20E01"/>
    <w:rsid w:val="00D246F6"/>
    <w:rsid w:val="00D2562A"/>
    <w:rsid w:val="00D26CAB"/>
    <w:rsid w:val="00D3161F"/>
    <w:rsid w:val="00D466FE"/>
    <w:rsid w:val="00D5644E"/>
    <w:rsid w:val="00D713A8"/>
    <w:rsid w:val="00D71755"/>
    <w:rsid w:val="00D7441A"/>
    <w:rsid w:val="00D812BB"/>
    <w:rsid w:val="00D82256"/>
    <w:rsid w:val="00D8267E"/>
    <w:rsid w:val="00D8372A"/>
    <w:rsid w:val="00D929D5"/>
    <w:rsid w:val="00D93C72"/>
    <w:rsid w:val="00D93E9F"/>
    <w:rsid w:val="00DA09BA"/>
    <w:rsid w:val="00DA255B"/>
    <w:rsid w:val="00DA515D"/>
    <w:rsid w:val="00DB1A0E"/>
    <w:rsid w:val="00DB464B"/>
    <w:rsid w:val="00DB5F69"/>
    <w:rsid w:val="00DC1E97"/>
    <w:rsid w:val="00DC7408"/>
    <w:rsid w:val="00DD1B0D"/>
    <w:rsid w:val="00DD2089"/>
    <w:rsid w:val="00DD42C3"/>
    <w:rsid w:val="00DE01EB"/>
    <w:rsid w:val="00DE02D8"/>
    <w:rsid w:val="00DE2038"/>
    <w:rsid w:val="00DE55A7"/>
    <w:rsid w:val="00DE76AF"/>
    <w:rsid w:val="00DF1B93"/>
    <w:rsid w:val="00DF5C15"/>
    <w:rsid w:val="00E06B8E"/>
    <w:rsid w:val="00E134BA"/>
    <w:rsid w:val="00E17EA6"/>
    <w:rsid w:val="00E217EB"/>
    <w:rsid w:val="00E2337D"/>
    <w:rsid w:val="00E32225"/>
    <w:rsid w:val="00E3526A"/>
    <w:rsid w:val="00E36E2D"/>
    <w:rsid w:val="00E46314"/>
    <w:rsid w:val="00E531E9"/>
    <w:rsid w:val="00E7347F"/>
    <w:rsid w:val="00E771F8"/>
    <w:rsid w:val="00E91A8D"/>
    <w:rsid w:val="00E97EB0"/>
    <w:rsid w:val="00EA3B80"/>
    <w:rsid w:val="00EA52A2"/>
    <w:rsid w:val="00EA6B92"/>
    <w:rsid w:val="00EA74C3"/>
    <w:rsid w:val="00EC0A2E"/>
    <w:rsid w:val="00EE0357"/>
    <w:rsid w:val="00EF2A1D"/>
    <w:rsid w:val="00F10FEB"/>
    <w:rsid w:val="00F143AB"/>
    <w:rsid w:val="00F26791"/>
    <w:rsid w:val="00F30519"/>
    <w:rsid w:val="00F33512"/>
    <w:rsid w:val="00F342A4"/>
    <w:rsid w:val="00F4298A"/>
    <w:rsid w:val="00F46C28"/>
    <w:rsid w:val="00F52C04"/>
    <w:rsid w:val="00F55CBF"/>
    <w:rsid w:val="00F608E4"/>
    <w:rsid w:val="00F62212"/>
    <w:rsid w:val="00F70E61"/>
    <w:rsid w:val="00F75DC6"/>
    <w:rsid w:val="00F768BF"/>
    <w:rsid w:val="00F775F4"/>
    <w:rsid w:val="00F77EDE"/>
    <w:rsid w:val="00F80BB9"/>
    <w:rsid w:val="00F85CAE"/>
    <w:rsid w:val="00F92AE5"/>
    <w:rsid w:val="00F97A09"/>
    <w:rsid w:val="00FB342D"/>
    <w:rsid w:val="00FD358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B45F"/>
  <w15:docId w15:val="{511F5BA3-4FB9-4D1A-963F-B0508B0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220"/>
    <w:pPr>
      <w:ind w:left="720"/>
      <w:contextualSpacing/>
    </w:pPr>
  </w:style>
  <w:style w:type="paragraph" w:styleId="Testonotaapidipagina">
    <w:name w:val="footnote text"/>
    <w:aliases w:val="Fußnotentext Char,Fußnotentext2 Char,Fußnotentext21,Fußnotentext Char Char Char11,Fußnotentext Char Char Char Char Char Char Char21,Fußnotentext Char Char Char Char Char Char11,Fußnotentext111,Fußnotentext111 Char"/>
    <w:basedOn w:val="Normale"/>
    <w:link w:val="TestonotaapidipaginaCarattere"/>
    <w:uiPriority w:val="99"/>
    <w:unhideWhenUsed/>
    <w:qFormat/>
    <w:rsid w:val="006E33C3"/>
    <w:pPr>
      <w:spacing w:after="0" w:line="240" w:lineRule="auto"/>
    </w:pPr>
    <w:rPr>
      <w:sz w:val="20"/>
      <w:szCs w:val="20"/>
    </w:rPr>
  </w:style>
  <w:style w:type="character" w:customStyle="1" w:styleId="TestonotaapidipaginaCarattere">
    <w:name w:val="Testo nota a piè di pagina Carattere"/>
    <w:aliases w:val="Fußnotentext Char Carattere,Fußnotentext2 Char Carattere,Fußnotentext21 Carattere,Fußnotentext Char Char Char11 Carattere,Fußnotentext Char Char Char Char Char Char Char21 Carattere,Fußnotentext111 Carattere"/>
    <w:basedOn w:val="Carpredefinitoparagrafo"/>
    <w:link w:val="Testonotaapidipagina"/>
    <w:uiPriority w:val="99"/>
    <w:rsid w:val="006E33C3"/>
    <w:rPr>
      <w:sz w:val="20"/>
      <w:szCs w:val="20"/>
    </w:rPr>
  </w:style>
  <w:style w:type="character" w:styleId="Rimandonotaapidipagina">
    <w:name w:val="footnote reference"/>
    <w:basedOn w:val="Carpredefinitoparagrafo"/>
    <w:uiPriority w:val="99"/>
    <w:unhideWhenUsed/>
    <w:rsid w:val="006E33C3"/>
    <w:rPr>
      <w:vertAlign w:val="superscript"/>
    </w:rPr>
  </w:style>
  <w:style w:type="character" w:styleId="Enfasigrassetto">
    <w:name w:val="Strong"/>
    <w:uiPriority w:val="22"/>
    <w:qFormat/>
    <w:rsid w:val="009229A7"/>
    <w:rPr>
      <w:b/>
      <w:bCs/>
      <w:lang w:val="en-GB" w:eastAsia="en-GB"/>
    </w:rPr>
  </w:style>
  <w:style w:type="character" w:customStyle="1" w:styleId="AutorFunoten">
    <w:name w:val="Autor_Fußnoten"/>
    <w:basedOn w:val="Carpredefinitoparagrafo"/>
    <w:rsid w:val="004366D3"/>
    <w:rPr>
      <w:rFonts w:cs="Times New Roman"/>
      <w:i/>
      <w:color w:val="00FF00"/>
    </w:rPr>
  </w:style>
  <w:style w:type="paragraph" w:styleId="Testofumetto">
    <w:name w:val="Balloon Text"/>
    <w:basedOn w:val="Normale"/>
    <w:link w:val="TestofumettoCarattere"/>
    <w:uiPriority w:val="99"/>
    <w:semiHidden/>
    <w:unhideWhenUsed/>
    <w:rsid w:val="00375A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5AFF"/>
    <w:rPr>
      <w:rFonts w:ascii="Segoe UI" w:hAnsi="Segoe UI" w:cs="Segoe UI"/>
      <w:sz w:val="18"/>
      <w:szCs w:val="18"/>
    </w:rPr>
  </w:style>
  <w:style w:type="character" w:styleId="Rimandocommento">
    <w:name w:val="annotation reference"/>
    <w:basedOn w:val="Carpredefinitoparagrafo"/>
    <w:uiPriority w:val="99"/>
    <w:semiHidden/>
    <w:unhideWhenUsed/>
    <w:rsid w:val="00AE2D43"/>
    <w:rPr>
      <w:sz w:val="16"/>
      <w:szCs w:val="16"/>
    </w:rPr>
  </w:style>
  <w:style w:type="paragraph" w:styleId="Testocommento">
    <w:name w:val="annotation text"/>
    <w:basedOn w:val="Normale"/>
    <w:link w:val="TestocommentoCarattere"/>
    <w:uiPriority w:val="99"/>
    <w:semiHidden/>
    <w:unhideWhenUsed/>
    <w:rsid w:val="00AE2D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2D43"/>
    <w:rPr>
      <w:sz w:val="20"/>
      <w:szCs w:val="20"/>
    </w:rPr>
  </w:style>
  <w:style w:type="paragraph" w:styleId="Soggettocommento">
    <w:name w:val="annotation subject"/>
    <w:basedOn w:val="Testocommento"/>
    <w:next w:val="Testocommento"/>
    <w:link w:val="SoggettocommentoCarattere"/>
    <w:uiPriority w:val="99"/>
    <w:semiHidden/>
    <w:unhideWhenUsed/>
    <w:rsid w:val="00AE2D43"/>
    <w:rPr>
      <w:b/>
      <w:bCs/>
    </w:rPr>
  </w:style>
  <w:style w:type="character" w:customStyle="1" w:styleId="SoggettocommentoCarattere">
    <w:name w:val="Soggetto commento Carattere"/>
    <w:basedOn w:val="TestocommentoCarattere"/>
    <w:link w:val="Soggettocommento"/>
    <w:uiPriority w:val="99"/>
    <w:semiHidden/>
    <w:rsid w:val="00AE2D43"/>
    <w:rPr>
      <w:b/>
      <w:bCs/>
      <w:sz w:val="20"/>
      <w:szCs w:val="20"/>
    </w:rPr>
  </w:style>
  <w:style w:type="paragraph" w:styleId="Revisione">
    <w:name w:val="Revision"/>
    <w:hidden/>
    <w:uiPriority w:val="99"/>
    <w:semiHidden/>
    <w:rsid w:val="00FB342D"/>
    <w:pPr>
      <w:spacing w:after="0" w:line="240" w:lineRule="auto"/>
    </w:pPr>
  </w:style>
  <w:style w:type="paragraph" w:styleId="Testonotadichiusura">
    <w:name w:val="endnote text"/>
    <w:basedOn w:val="Normale"/>
    <w:link w:val="TestonotadichiusuraCarattere"/>
    <w:uiPriority w:val="99"/>
    <w:semiHidden/>
    <w:unhideWhenUsed/>
    <w:rsid w:val="00AD462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D4621"/>
    <w:rPr>
      <w:sz w:val="20"/>
      <w:szCs w:val="20"/>
    </w:rPr>
  </w:style>
  <w:style w:type="character" w:styleId="Rimandonotadichiusura">
    <w:name w:val="endnote reference"/>
    <w:basedOn w:val="Carpredefinitoparagrafo"/>
    <w:uiPriority w:val="99"/>
    <w:semiHidden/>
    <w:unhideWhenUsed/>
    <w:rsid w:val="00AD4621"/>
    <w:rPr>
      <w:vertAlign w:val="superscript"/>
    </w:rPr>
  </w:style>
  <w:style w:type="character" w:styleId="Collegamentoipertestuale">
    <w:name w:val="Hyperlink"/>
    <w:uiPriority w:val="99"/>
    <w:unhideWhenUsed/>
    <w:rsid w:val="00DA09BA"/>
    <w:rPr>
      <w:color w:val="0000FF"/>
      <w:u w:val="single"/>
    </w:rPr>
  </w:style>
  <w:style w:type="paragraph" w:styleId="Intestazione">
    <w:name w:val="header"/>
    <w:basedOn w:val="Normale"/>
    <w:link w:val="IntestazioneCarattere"/>
    <w:uiPriority w:val="99"/>
    <w:unhideWhenUsed/>
    <w:rsid w:val="004B75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5B0"/>
  </w:style>
  <w:style w:type="paragraph" w:styleId="Pidipagina">
    <w:name w:val="footer"/>
    <w:basedOn w:val="Normale"/>
    <w:link w:val="PidipaginaCarattere"/>
    <w:uiPriority w:val="99"/>
    <w:unhideWhenUsed/>
    <w:rsid w:val="004B75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9408">
      <w:bodyDiv w:val="1"/>
      <w:marLeft w:val="0"/>
      <w:marRight w:val="0"/>
      <w:marTop w:val="0"/>
      <w:marBottom w:val="0"/>
      <w:divBdr>
        <w:top w:val="none" w:sz="0" w:space="0" w:color="auto"/>
        <w:left w:val="none" w:sz="0" w:space="0" w:color="auto"/>
        <w:bottom w:val="none" w:sz="0" w:space="0" w:color="auto"/>
        <w:right w:val="none" w:sz="0" w:space="0" w:color="auto"/>
      </w:divBdr>
    </w:div>
    <w:div w:id="1265306346">
      <w:bodyDiv w:val="1"/>
      <w:marLeft w:val="0"/>
      <w:marRight w:val="0"/>
      <w:marTop w:val="0"/>
      <w:marBottom w:val="0"/>
      <w:divBdr>
        <w:top w:val="none" w:sz="0" w:space="0" w:color="auto"/>
        <w:left w:val="none" w:sz="0" w:space="0" w:color="auto"/>
        <w:bottom w:val="none" w:sz="0" w:space="0" w:color="auto"/>
        <w:right w:val="none" w:sz="0" w:space="0" w:color="auto"/>
      </w:divBdr>
      <w:divsChild>
        <w:div w:id="1815679159">
          <w:marLeft w:val="0"/>
          <w:marRight w:val="0"/>
          <w:marTop w:val="0"/>
          <w:marBottom w:val="0"/>
          <w:divBdr>
            <w:top w:val="none" w:sz="0" w:space="0" w:color="auto"/>
            <w:left w:val="none" w:sz="0" w:space="0" w:color="auto"/>
            <w:bottom w:val="none" w:sz="0" w:space="0" w:color="auto"/>
            <w:right w:val="none" w:sz="0" w:space="0" w:color="auto"/>
          </w:divBdr>
        </w:div>
        <w:div w:id="1530606004">
          <w:marLeft w:val="0"/>
          <w:marRight w:val="0"/>
          <w:marTop w:val="0"/>
          <w:marBottom w:val="0"/>
          <w:divBdr>
            <w:top w:val="none" w:sz="0" w:space="0" w:color="auto"/>
            <w:left w:val="none" w:sz="0" w:space="0" w:color="auto"/>
            <w:bottom w:val="none" w:sz="0" w:space="0" w:color="auto"/>
            <w:right w:val="none" w:sz="0" w:space="0" w:color="auto"/>
          </w:divBdr>
        </w:div>
      </w:divsChild>
    </w:div>
    <w:div w:id="16070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a.org.uk/news/post-implementation-review-of-the-r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0EC05-6BED-470C-B90B-88D4F79B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18179</Words>
  <Characters>103626</Characters>
  <Application>Microsoft Office Word</Application>
  <DocSecurity>0</DocSecurity>
  <Lines>863</Lines>
  <Paragraphs>243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Humboldt-Universität zu Berlin</Company>
  <LinksUpToDate>false</LinksUpToDate>
  <CharactersWithSpaces>121562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Grundmann</dc:creator>
  <cp:keywords/>
  <dc:description/>
  <cp:lastModifiedBy>Reviewer X</cp:lastModifiedBy>
  <cp:revision>12</cp:revision>
  <cp:lastPrinted>2016-08-10T18:32:00Z</cp:lastPrinted>
  <dcterms:created xsi:type="dcterms:W3CDTF">2016-09-01T09:43:00Z</dcterms:created>
  <dcterms:modified xsi:type="dcterms:W3CDTF">2016-09-01T10:38:00Z</dcterms:modified>
</cp:coreProperties>
</file>